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framePr w:w="1782" w:h="1057" w:hRule="exact" w:vAnchor="page" w:hAnchor="page" w:x="1373" w:y="628"/>
        <w:rPr>
          <w:color w:val="auto"/>
        </w:rPr>
      </w:pPr>
      <w:bookmarkStart w:id="0" w:name="_Toc421285429"/>
      <w:bookmarkStart w:id="1" w:name="_Toc422484576"/>
      <w:bookmarkStart w:id="2" w:name="_Toc420302352"/>
      <w:r>
        <w:rPr>
          <w:rFonts w:ascii="Times New Roman"/>
          <w:color w:val="auto"/>
        </w:rPr>
        <w:t>ICS</w:t>
      </w:r>
      <w:r>
        <w:rPr>
          <w:rFonts w:hAnsi="黑体"/>
          <w:color w:val="auto"/>
        </w:rPr>
        <w:t> </w:t>
      </w:r>
      <w:r>
        <w:rPr>
          <w:rFonts w:hint="eastAsia" w:hAnsi="黑体"/>
          <w:color w:val="auto"/>
        </w:rPr>
        <w:t>03.080</w:t>
      </w:r>
    </w:p>
    <w:p>
      <w:pPr>
        <w:pStyle w:val="81"/>
        <w:framePr w:w="1782" w:h="1057" w:hRule="exact" w:vAnchor="page" w:hAnchor="page" w:x="1373" w:y="628"/>
        <w:rPr>
          <w:color w:val="auto"/>
        </w:rPr>
      </w:pPr>
      <w:r>
        <w:rPr>
          <w:rFonts w:hint="eastAsia" w:ascii="Times New Roman"/>
          <w:color w:val="auto"/>
        </w:rPr>
        <w:t>C</w:t>
      </w:r>
      <w:r>
        <w:rPr>
          <w:rFonts w:ascii="Times New Roman"/>
          <w:color w:val="auto"/>
        </w:rPr>
        <w:t>CS</w:t>
      </w:r>
      <w:r>
        <w:rPr>
          <w:rFonts w:hAnsi="黑体"/>
          <w:color w:val="auto"/>
        </w:rPr>
        <w:t> </w:t>
      </w:r>
      <w:r>
        <w:rPr>
          <w:rFonts w:hint="eastAsia"/>
          <w:color w:val="auto"/>
        </w:rPr>
        <w:t>A 16</w:t>
      </w:r>
    </w:p>
    <w:tbl>
      <w:tblPr>
        <w:tblStyle w:val="41"/>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854" w:type="dxa"/>
            <w:tcBorders>
              <w:top w:val="nil"/>
              <w:left w:val="nil"/>
              <w:bottom w:val="nil"/>
              <w:right w:val="nil"/>
            </w:tcBorders>
          </w:tcPr>
          <w:p>
            <w:pPr>
              <w:pStyle w:val="81"/>
              <w:framePr w:w="1782" w:h="1057" w:hRule="exact" w:vAnchor="page" w:hAnchor="page" w:x="1373" w:y="628"/>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854" w:type="dxa"/>
            <w:tcBorders>
              <w:top w:val="nil"/>
              <w:left w:val="nil"/>
              <w:bottom w:val="nil"/>
              <w:right w:val="nil"/>
            </w:tcBorders>
          </w:tcPr>
          <w:p>
            <w:pPr>
              <w:pStyle w:val="81"/>
              <w:framePr w:w="1782" w:h="1057" w:hRule="exact" w:vAnchor="page" w:hAnchor="page" w:x="1373" w:y="628"/>
              <w:rPr>
                <w:color w:val="auto"/>
              </w:rPr>
            </w:pPr>
          </w:p>
        </w:tc>
      </w:tr>
    </w:tbl>
    <w:p>
      <w:pPr>
        <w:pStyle w:val="49"/>
        <w:framePr w:vAnchor="page" w:hAnchor="page" w:x="8364" w:y="481"/>
        <w:rPr>
          <w:rFonts w:ascii="Bell MT" w:hAnsi="Bell MT"/>
          <w:color w:val="auto"/>
        </w:rPr>
      </w:pPr>
      <w:r>
        <w:rPr>
          <w:rFonts w:ascii="Bell MT" w:hAnsi="Bell MT"/>
          <w:color w:val="auto"/>
        </w:rPr>
        <w:t>SB</w:t>
      </w:r>
    </w:p>
    <w:p>
      <w:pPr>
        <w:pStyle w:val="118"/>
        <w:framePr w:w="9578"/>
        <w:rPr>
          <w:color w:val="auto"/>
        </w:rPr>
      </w:pPr>
      <w:r>
        <w:rPr>
          <w:rFonts w:hint="eastAsia"/>
          <w:color w:val="auto"/>
        </w:rPr>
        <w:t>中华人民共和国国内贸易行业标准</w:t>
      </w:r>
    </w:p>
    <w:p>
      <w:pPr>
        <w:pStyle w:val="63"/>
        <w:rPr>
          <w:rFonts w:hAnsi="黑体"/>
          <w:color w:val="auto"/>
        </w:rPr>
      </w:pPr>
      <w:r>
        <w:rPr>
          <w:rFonts w:hint="eastAsia" w:ascii="Times New Roman"/>
          <w:color w:val="auto"/>
          <w:shd w:val="clear" w:color="auto" w:fill="FFFFFF"/>
        </w:rPr>
        <w:t>SB</w:t>
      </w:r>
      <w:r>
        <w:rPr>
          <w:rFonts w:ascii="Times New Roman"/>
          <w:color w:val="auto"/>
          <w:shd w:val="clear" w:color="auto" w:fill="FFFFFF"/>
        </w:rPr>
        <w:t>/T</w:t>
      </w:r>
      <w:r>
        <w:rPr>
          <w:rFonts w:hint="eastAsia" w:ascii="Times New Roman"/>
          <w:color w:val="auto"/>
          <w:shd w:val="clear" w:color="auto" w:fill="FFFFFF"/>
        </w:rPr>
        <w:t xml:space="preserve"> </w:t>
      </w:r>
      <w:r>
        <w:rPr>
          <w:rFonts w:ascii="Times New Roman"/>
          <w:color w:val="auto"/>
          <w:shd w:val="clear" w:color="auto" w:fill="FFFFFF"/>
        </w:rPr>
        <w:t xml:space="preserve"> </w:t>
      </w:r>
      <w:r>
        <w:rPr>
          <w:rFonts w:hint="eastAsia" w:ascii="Times New Roman"/>
          <w:color w:val="auto"/>
          <w:shd w:val="clear" w:color="auto" w:fill="FFFFFF"/>
        </w:rPr>
        <w:t xml:space="preserve">XXXXX </w:t>
      </w:r>
      <w:r>
        <w:rPr>
          <w:rFonts w:hAnsi="黑体"/>
          <w:color w:val="auto"/>
          <w:shd w:val="clear" w:color="auto" w:fill="FFFFFF"/>
        </w:rPr>
        <w:t>—</w:t>
      </w:r>
      <w:r>
        <w:rPr>
          <w:rFonts w:hint="eastAsia" w:hAnsi="黑体"/>
          <w:color w:val="auto"/>
          <w:shd w:val="clear" w:color="auto" w:fill="FFFFFF"/>
        </w:rPr>
        <w:t>202</w:t>
      </w:r>
      <w:r>
        <w:rPr>
          <w:rFonts w:hint="eastAsia" w:hAnsi="黑体"/>
          <w:color w:val="auto"/>
          <w:shd w:val="clear" w:color="auto" w:fill="FFFFFF"/>
          <w:lang w:val="en-US" w:eastAsia="zh-CN"/>
        </w:rPr>
        <w:t>2</w:t>
      </w:r>
    </w:p>
    <w:tbl>
      <w:tblPr>
        <w:tblStyle w:val="41"/>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356" w:type="dxa"/>
            <w:tcBorders>
              <w:top w:val="nil"/>
              <w:left w:val="nil"/>
              <w:bottom w:val="nil"/>
              <w:right w:val="nil"/>
            </w:tcBorders>
          </w:tcPr>
          <w:p>
            <w:pPr>
              <w:pStyle w:val="109"/>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-121285</wp:posOffset>
                      </wp:positionH>
                      <wp:positionV relativeFrom="paragraph">
                        <wp:posOffset>234950</wp:posOffset>
                      </wp:positionV>
                      <wp:extent cx="6120130" cy="0"/>
                      <wp:effectExtent l="0" t="0" r="0" b="0"/>
                      <wp:wrapNone/>
                      <wp:docPr id="11"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9.55pt;margin-top:18.5pt;height:0pt;width:481.9pt;z-index:251660288;mso-width-relative:page;mso-height-relative:page;" filled="f" stroked="t" coordsize="21600,21600" o:gfxdata="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E8qcP1wAAAAkBAAAPAAAAAAAAAAEAIAAAACIAAABkcnMvZG93bnJl&#10;di54bWxQSwECFAAUAAAACACHTuJAyHTyjsUBAACDAwAADgAAAAAAAAABACAAAAAmAQAAZHJzL2Uy&#10;b0RvYy54bWxQSwUGAAAAAAYABgBZAQAAXQU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5619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0"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wps:spPr>
                            <wps:txbx>
                              <w:txbxContent>
                                <w:p/>
                              </w:txbxContent>
                            </wps:txbx>
                            <wps:bodyPr wrap="square" upright="1"/>
                          </wps:wsp>
                        </a:graphicData>
                      </a:graphic>
                    </wp:anchor>
                  </w:drawing>
                </mc:Choice>
                <mc:Fallback>
                  <w:pict>
                    <v:rect id="DT" o:spid="_x0000_s1026" o:spt="1" style="position:absolute;left:0pt;margin-left:372.8pt;margin-top:2.7pt;height:18pt;width:90pt;z-index:-25166028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eYPLL1gAAAAgBAAAPAAAAAAAAAAEAIAAA&#10;ACIAAABkcnMvZG93bnJldi54bWxQSwECFAAUAAAACACHTuJAnPFuEJwBAAAuAwAADgAAAAAAAAAB&#10;ACAAAAAlAQAAZHJzL2Uyb0RvYy54bWxQSwUGAAAAAAYABgBZAQAAMwUAAAAA&#10;">
                      <v:fill on="t" focussize="0,0"/>
                      <v:stroke on="f"/>
                      <v:imagedata o:title=""/>
                      <o:lock v:ext="edit" aspectratio="f"/>
                      <v:textbox>
                        <w:txbxContent>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9356" w:type="dxa"/>
            <w:tcBorders>
              <w:top w:val="nil"/>
              <w:left w:val="nil"/>
              <w:bottom w:val="nil"/>
              <w:right w:val="nil"/>
            </w:tcBorders>
          </w:tcPr>
          <w:p>
            <w:pPr>
              <w:pStyle w:val="109"/>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356" w:type="dxa"/>
            <w:tcBorders>
              <w:top w:val="nil"/>
              <w:left w:val="nil"/>
              <w:bottom w:val="nil"/>
              <w:right w:val="nil"/>
            </w:tcBorders>
          </w:tcPr>
          <w:p>
            <w:pPr>
              <w:pStyle w:val="109"/>
              <w:rPr>
                <w:color w:val="auto"/>
              </w:rPr>
            </w:pPr>
          </w:p>
        </w:tc>
      </w:tr>
    </w:tbl>
    <w:p>
      <w:pPr>
        <w:pStyle w:val="63"/>
        <w:rPr>
          <w:rFonts w:hAnsi="黑体"/>
          <w:color w:val="auto"/>
        </w:rPr>
      </w:pPr>
    </w:p>
    <w:p>
      <w:pPr>
        <w:pStyle w:val="63"/>
        <w:rPr>
          <w:rFonts w:hAnsi="黑体"/>
          <w:color w:val="auto"/>
        </w:rPr>
      </w:pPr>
    </w:p>
    <w:p>
      <w:pPr>
        <w:pStyle w:val="94"/>
        <w:framePr w:hAnchor="page" w:x="1499" w:y="13672"/>
        <w:rPr>
          <w:color w:val="auto"/>
        </w:rPr>
      </w:pPr>
      <w:r>
        <w:rPr>
          <w:rFonts w:hint="eastAsia" w:ascii="黑体"/>
          <w:color w:val="auto"/>
        </w:rPr>
        <w:t>XXXX</w:t>
      </w:r>
      <w:r>
        <w:rPr>
          <w:rFonts w:ascii="黑体"/>
          <w:color w:val="auto"/>
        </w:rPr>
        <w:t>-</w:t>
      </w:r>
      <w:r>
        <w:rPr>
          <w:color w:val="auto"/>
        </w:rPr>
        <w:t xml:space="preserve"> </w:t>
      </w:r>
      <w:r>
        <w:rPr>
          <w:rFonts w:hint="eastAsia" w:ascii="黑体"/>
          <w:color w:val="auto"/>
        </w:rPr>
        <w:t>XX</w:t>
      </w:r>
      <w:r>
        <w:rPr>
          <w:color w:val="auto"/>
        </w:rPr>
        <w:t xml:space="preserve"> </w:t>
      </w:r>
      <w:r>
        <w:rPr>
          <w:rFonts w:ascii="黑体"/>
          <w:color w:val="auto"/>
        </w:rPr>
        <w:t>-</w:t>
      </w:r>
      <w:r>
        <w:rPr>
          <w:color w:val="auto"/>
        </w:rPr>
        <w:t xml:space="preserve"> </w:t>
      </w:r>
      <w:r>
        <w:rPr>
          <w:rFonts w:hint="eastAsia" w:ascii="黑体"/>
          <w:color w:val="auto"/>
        </w:rPr>
        <w:t>XX</w:t>
      </w:r>
      <w:r>
        <w:rPr>
          <w:rFonts w:hint="eastAsia"/>
          <w:color w:val="auto"/>
        </w:rPr>
        <w:t>发布</w:t>
      </w:r>
    </w:p>
    <w:p>
      <w:pPr>
        <w:pStyle w:val="123"/>
        <w:framePr w:hAnchor="page" w:x="7124" w:y="13690"/>
        <w:rPr>
          <w:color w:val="auto"/>
        </w:rPr>
      </w:pPr>
      <w:r>
        <w:rPr>
          <w:rFonts w:hint="eastAsia" w:ascii="黑体"/>
          <w:color w:val="auto"/>
        </w:rPr>
        <w:t>XXXX</w:t>
      </w:r>
      <w:r>
        <w:rPr>
          <w:color w:val="auto"/>
        </w:rPr>
        <w:t xml:space="preserve"> </w:t>
      </w:r>
      <w:r>
        <w:rPr>
          <w:rFonts w:ascii="黑体"/>
          <w:color w:val="auto"/>
        </w:rPr>
        <w:t>-</w:t>
      </w:r>
      <w:r>
        <w:rPr>
          <w:color w:val="auto"/>
        </w:rPr>
        <w:t xml:space="preserve"> </w:t>
      </w:r>
      <w:r>
        <w:rPr>
          <w:rFonts w:hint="eastAsia" w:ascii="黑体"/>
          <w:color w:val="auto"/>
        </w:rPr>
        <w:t>XX</w:t>
      </w:r>
      <w:r>
        <w:rPr>
          <w:color w:val="auto"/>
        </w:rPr>
        <w:t xml:space="preserve"> </w:t>
      </w:r>
      <w:r>
        <w:rPr>
          <w:rFonts w:ascii="黑体"/>
          <w:color w:val="auto"/>
        </w:rPr>
        <w:t>-</w:t>
      </w:r>
      <w:r>
        <w:rPr>
          <w:rFonts w:hint="eastAsia" w:ascii="黑体"/>
          <w:color w:val="auto"/>
        </w:rPr>
        <w:t>XX</w:t>
      </w:r>
      <w:r>
        <w:rPr>
          <w:rFonts w:hint="eastAsia"/>
          <w:color w:val="auto"/>
        </w:rPr>
        <w:t>实施</w:t>
      </w:r>
    </w:p>
    <w:p>
      <w:pPr>
        <w:pStyle w:val="99"/>
        <w:framePr w:w="7219" w:h="807" w:hRule="exact" w:x="2422" w:y="14761"/>
        <w:rPr>
          <w:color w:val="auto"/>
        </w:rPr>
      </w:pPr>
      <w:r>
        <w:rPr>
          <w:rFonts w:hint="eastAsia"/>
          <w:color w:val="auto"/>
        </w:rPr>
        <w:t>中华人民共和国商务部</w:t>
      </w:r>
      <w:r>
        <w:rPr>
          <w:rFonts w:hAnsi="黑体"/>
          <w:color w:val="auto"/>
        </w:rPr>
        <w:t> </w:t>
      </w:r>
      <w:r>
        <w:rPr>
          <w:rStyle w:val="151"/>
          <w:rFonts w:hint="eastAsia"/>
          <w:color w:val="auto"/>
        </w:rPr>
        <w:t>发布</w:t>
      </w:r>
    </w:p>
    <w:p>
      <w:pPr>
        <w:pStyle w:val="80"/>
        <w:framePr w:w="9621" w:h="5857" w:hRule="exact" w:x="1460" w:y="6875"/>
        <w:ind w:firstLine="0" w:firstLineChars="0"/>
        <w:jc w:val="center"/>
        <w:rPr>
          <w:color w:val="auto"/>
        </w:rPr>
      </w:pPr>
      <w:r>
        <w:rPr>
          <w:rFonts w:hint="eastAsia"/>
          <w:color w:val="auto"/>
        </w:rPr>
        <w:t>同城物流配送服务规范</w:t>
      </w:r>
    </w:p>
    <w:tbl>
      <w:tblPr>
        <w:tblStyle w:val="41"/>
        <w:tblW w:w="100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62" w:hRule="atLeast"/>
        </w:trPr>
        <w:tc>
          <w:tcPr>
            <w:tcW w:w="10042" w:type="dxa"/>
            <w:tcBorders>
              <w:top w:val="nil"/>
              <w:left w:val="nil"/>
              <w:bottom w:val="nil"/>
              <w:right w:val="nil"/>
            </w:tcBorders>
          </w:tcPr>
          <w:p>
            <w:pPr>
              <w:pStyle w:val="83"/>
              <w:framePr w:w="9621" w:h="5857" w:hRule="exact" w:x="1460" w:y="6875"/>
              <w:ind w:firstLine="0" w:firstLineChars="0"/>
              <w:jc w:val="center"/>
              <w:rPr>
                <w:rFonts w:ascii="Times New Roman" w:eastAsia="黑体"/>
                <w:color w:val="auto"/>
                <w:sz w:val="28"/>
              </w:rPr>
            </w:pPr>
            <w:r>
              <w:rPr>
                <w:rFonts w:hint="eastAsia" w:ascii="Times New Roman" w:eastAsia="黑体"/>
                <w:color w:val="auto"/>
                <w:sz w:val="28"/>
              </w:rPr>
              <w:t>Specification for service of city logistics delivery</w:t>
            </w:r>
          </w:p>
          <w:p>
            <w:pPr>
              <w:pStyle w:val="83"/>
              <w:framePr w:w="9621" w:h="5857" w:hRule="exact" w:x="1460" w:y="6875"/>
              <w:ind w:firstLine="0" w:firstLineChars="0"/>
              <w:jc w:val="center"/>
              <w:rPr>
                <w:rFonts w:ascii="Times New Roman" w:eastAsia="黑体"/>
                <w:color w:val="auto"/>
                <w:sz w:val="28"/>
              </w:rPr>
            </w:pPr>
            <w:r>
              <w:rPr>
                <w:rFonts w:hint="eastAsia" w:ascii="Times New Roman" w:eastAsia="黑体"/>
                <w:color w:val="auto"/>
                <w:sz w:val="28"/>
              </w:rPr>
              <w:t>（征求意见稿）</w:t>
            </w:r>
          </w:p>
          <w:p>
            <w:pPr>
              <w:pStyle w:val="83"/>
              <w:framePr w:w="9621" w:h="5857" w:hRule="exact" w:x="1460" w:y="6875"/>
              <w:ind w:firstLine="0" w:firstLineChars="0"/>
              <w:jc w:val="center"/>
              <w:rPr>
                <w:rFonts w:ascii="Times New Roman" w:eastAsia="黑体"/>
                <w:color w:val="auto"/>
                <w:sz w:val="28"/>
              </w:rPr>
            </w:pPr>
            <w:r>
              <w:rPr>
                <w:rFonts w:ascii="Times New Roman" w:eastAsia="黑体"/>
                <w:color w:val="auto"/>
                <w:sz w:val="28"/>
              </w:rPr>
              <mc:AlternateContent>
                <mc:Choice Requires="wps">
                  <w:drawing>
                    <wp:anchor distT="0" distB="0" distL="114300" distR="114300" simplePos="0" relativeHeight="251658240"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8" name="矩形 3"/>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a:noFill/>
                              </a:ln>
                            </wps:spPr>
                            <wps:txbx>
                              <w:txbxContent>
                                <w:p/>
                              </w:txbxContent>
                            </wps:txbx>
                            <wps:bodyPr upright="1"/>
                          </wps:wsp>
                        </a:graphicData>
                      </a:graphic>
                    </wp:anchor>
                  </w:drawing>
                </mc:Choice>
                <mc:Fallback>
                  <w:pict>
                    <v:rect id="矩形 3" o:spid="_x0000_s1026" o:spt="1" style="position:absolute;left:0pt;margin-left:173.3pt;margin-top:45.15pt;height:20pt;width:150pt;z-index:-25165824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Fia6S1QAAAAoBAAAPAAAAAAAAAAEA&#10;IAAAACIAAABkcnMvZG93bnJldi54bWxQSwECFAAUAAAACACHTuJAFA5qP6ABAAAlAwAADgAAAAAA&#10;AAABACAAAAAkAQAAZHJzL2Uyb0RvYy54bWxQSwUGAAAAAAYABgBZAQAANgUAAAAA&#10;">
                      <v:fill on="t" focussize="0,0"/>
                      <v:stroke on="f"/>
                      <v:imagedata o:title=""/>
                      <o:lock v:ext="edit" aspectratio="f"/>
                      <v:textbox>
                        <w:txbxContent>
                          <w:p/>
                        </w:txbxContent>
                      </v:textbox>
                      <w10:anchorlock/>
                    </v:rect>
                  </w:pict>
                </mc:Fallback>
              </mc:AlternateContent>
            </w:r>
            <w:r>
              <w:rPr>
                <w:rFonts w:ascii="Times New Roman" w:eastAsia="黑体"/>
                <w:color w:val="auto"/>
                <w:sz w:val="28"/>
              </w:rPr>
              <mc:AlternateContent>
                <mc:Choice Requires="wps">
                  <w:drawing>
                    <wp:anchor distT="0" distB="0" distL="114300" distR="114300" simplePos="0" relativeHeight="251658240"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7" name="矩形 2"/>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wps:spPr>
                            <wps:txbx>
                              <w:txbxContent>
                                <w:p/>
                              </w:txbxContent>
                            </wps:txbx>
                            <wps:bodyPr upright="1"/>
                          </wps:wsp>
                        </a:graphicData>
                      </a:graphic>
                    </wp:anchor>
                  </w:drawing>
                </mc:Choice>
                <mc:Fallback>
                  <w:pict>
                    <v:rect id="矩形 2" o:spid="_x0000_s1026" o:spt="1" style="position:absolute;left:0pt;margin-left:193.3pt;margin-top:20.15pt;height:24pt;width:100pt;z-index:-25165824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A+GL5dYAAAAJAQAADwAAAAAAAAAB&#10;ACAAAAAiAAAAZHJzL2Rvd25yZXYueG1sUEsBAhQAFAAAAAgAh07iQPmf2hGgAQAAJQMAAA4AAAAA&#10;AAAAAQAgAAAAJQEAAGRycy9lMm9Eb2MueG1sUEsFBgAAAAAGAAYAWQEAADcFAAAAAA==&#10;">
                      <v:fill on="t" focussize="0,0"/>
                      <v:stroke on="f"/>
                      <v:imagedata o:title=""/>
                      <o:lock v:ext="edit" aspectratio="f"/>
                      <v:textbox>
                        <w:txbxContent>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6" w:hRule="atLeast"/>
        </w:trPr>
        <w:tc>
          <w:tcPr>
            <w:tcW w:w="10042" w:type="dxa"/>
            <w:tcBorders>
              <w:top w:val="nil"/>
              <w:left w:val="nil"/>
              <w:bottom w:val="nil"/>
              <w:right w:val="nil"/>
            </w:tcBorders>
          </w:tcPr>
          <w:p>
            <w:pPr>
              <w:pStyle w:val="138"/>
              <w:framePr w:w="9621" w:h="5857" w:hRule="exact" w:x="1460" w:y="6875"/>
              <w:ind w:firstLine="0" w:firstLineChars="0"/>
              <w:jc w:val="center"/>
              <w:rPr>
                <w:rFonts w:ascii="宋体" w:hAnsi="宋体" w:eastAsia="宋体"/>
                <w:color w:val="auto"/>
                <w:sz w:val="24"/>
                <w:szCs w:val="24"/>
              </w:rPr>
            </w:pPr>
            <w:r>
              <w:rPr>
                <w:rFonts w:hAnsi="宋体"/>
                <w:b/>
                <w:bCs/>
                <w:color w:val="auto"/>
                <w:sz w:val="24"/>
                <w:szCs w:val="24"/>
              </w:rPr>
              <mc:AlternateContent>
                <mc:Choice Requires="wps">
                  <w:drawing>
                    <wp:anchor distT="0" distB="0" distL="114300" distR="114300" simplePos="0" relativeHeight="251655168" behindDoc="0" locked="1" layoutInCell="1" allowOverlap="1">
                      <wp:simplePos x="0" y="0"/>
                      <wp:positionH relativeFrom="column">
                        <wp:posOffset>4445</wp:posOffset>
                      </wp:positionH>
                      <wp:positionV relativeFrom="page">
                        <wp:posOffset>2174875</wp:posOffset>
                      </wp:positionV>
                      <wp:extent cx="6120130" cy="0"/>
                      <wp:effectExtent l="8890" t="12700" r="5080" b="63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35pt;margin-top:171.25pt;height:0pt;width:481.9pt;mso-position-vertical-relative:page;z-index:251655168;mso-width-relative:page;mso-height-relative:page;" filled="f" stroked="t" coordsize="21600,21600" o:gfxdata="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zVX+HVAAAACAEAAA8AAAAAAAAAAQAgAAAAIgAAAGRycy9kb3ducmV2&#10;LnhtbFBLAQIUABQAAAAIAIdO4kC+J0zTxgEAAFwDAAAOAAAAAAAAAAEAIAAAACQBAABkcnMvZTJv&#10;RG9jLnhtbFBLBQYAAAAABgAGAFkBAABcBQAAAAA=&#10;">
                      <v:fill on="f" focussize="0,0"/>
                      <v:stroke color="#000000" joinstyle="round"/>
                      <v:imagedata o:title=""/>
                      <o:lock v:ext="edit" aspectratio="f"/>
                      <w10:anchorlock/>
                    </v:line>
                  </w:pict>
                </mc:Fallback>
              </mc:AlternateContent>
            </w:r>
            <w:r>
              <w:rPr>
                <w:rFonts w:hint="eastAsia" w:ascii="宋体" w:hAnsi="宋体" w:eastAsia="宋体"/>
                <w:color w:val="auto"/>
                <w:sz w:val="24"/>
                <w:szCs w:val="24"/>
              </w:rPr>
              <w:t>在提交反馈意见时，请将您知道的</w:t>
            </w:r>
            <w:r>
              <w:rPr>
                <w:rFonts w:hint="eastAsia" w:hAnsi="宋体"/>
                <w:color w:val="auto"/>
                <w:sz w:val="24"/>
                <w:szCs w:val="24"/>
              </w:rPr>
              <w:t>相关</w:t>
            </w:r>
            <w:r>
              <w:rPr>
                <w:rFonts w:hAnsi="宋体"/>
                <w:color w:val="auto"/>
                <w:sz w:val="24"/>
                <w:szCs w:val="24"/>
              </w:rPr>
              <w:t>专利</w:t>
            </w:r>
            <w:r>
              <w:rPr>
                <w:rFonts w:hint="eastAsia" w:hAnsi="宋体"/>
                <w:color w:val="auto"/>
                <w:sz w:val="24"/>
                <w:szCs w:val="24"/>
              </w:rPr>
              <w:t>连同支持性</w:t>
            </w:r>
            <w:r>
              <w:rPr>
                <w:rFonts w:hAnsi="宋体"/>
                <w:color w:val="auto"/>
                <w:sz w:val="24"/>
                <w:szCs w:val="24"/>
              </w:rPr>
              <w:t>文件一并附上</w:t>
            </w:r>
            <w:r>
              <w:rPr>
                <w:rFonts w:hint="eastAsia" w:hAnsi="宋体"/>
                <w:color w:val="auto"/>
                <w:sz w:val="24"/>
                <w:szCs w:val="24"/>
              </w:rPr>
              <w:t>。</w:t>
            </w:r>
          </w:p>
        </w:tc>
      </w:tr>
    </w:tbl>
    <w:p>
      <w:pPr>
        <w:pStyle w:val="81"/>
        <w:rPr>
          <w:color w:val="auto"/>
        </w:rPr>
        <w:sectPr>
          <w:pgSz w:w="11906" w:h="16838"/>
          <w:pgMar w:top="1440" w:right="1800" w:bottom="1440" w:left="1800" w:header="851" w:footer="992" w:gutter="0"/>
          <w:cols w:space="425" w:num="1"/>
          <w:docGrid w:type="lines" w:linePitch="312" w:charSpace="0"/>
        </w:sectPr>
      </w:pPr>
      <w:r>
        <w:rPr>
          <w:color w:val="auto"/>
        </w:rPr>
        <mc:AlternateContent>
          <mc:Choice Requires="wps">
            <w:drawing>
              <wp:anchor distT="0" distB="0" distL="114300" distR="114300" simplePos="0" relativeHeight="251657216" behindDoc="1" locked="0" layoutInCell="1" allowOverlap="1">
                <wp:simplePos x="0" y="0"/>
                <wp:positionH relativeFrom="column">
                  <wp:posOffset>-142875</wp:posOffset>
                </wp:positionH>
                <wp:positionV relativeFrom="paragraph">
                  <wp:posOffset>405765</wp:posOffset>
                </wp:positionV>
                <wp:extent cx="866775" cy="198120"/>
                <wp:effectExtent l="0" t="0" r="9525" b="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wps:spPr>
                      <wps:txbx>
                        <w:txbxContent>
                          <w:p/>
                        </w:txbxContent>
                      </wps:txbx>
                      <wps:bodyPr wrap="square" upright="1"/>
                    </wps:wsp>
                  </a:graphicData>
                </a:graphic>
              </wp:anchor>
            </w:drawing>
          </mc:Choice>
          <mc:Fallback>
            <w:pict>
              <v:rect id="BAH" o:spid="_x0000_s1026" o:spt="1" style="position:absolute;left:0pt;margin-left:-11.25pt;margin-top:31.95pt;height:15.6pt;width:68.25pt;z-index:-251659264;mso-width-relative:page;mso-height-relative:page;" fillcolor="#FFFFFF" filled="t" stroked="f" coordsize="21600,21600" o:gfxdata="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zTgl61wAAAAkBAAAPAAAAAAAA&#10;AAEAIAAAACIAAABkcnMvZG93bnJldi54bWxQSwECFAAUAAAACACHTuJASm3C1KEBAAAtAwAADgAA&#10;AAAAAAABACAAAAAmAQAAZHJzL2Uyb0RvYy54bWxQSwUGAAAAAAYABgBZAQAAOQUAAAAA&#10;">
                <v:fill on="t" focussize="0,0"/>
                <v:stroke on="f"/>
                <v:imagedata o:title=""/>
                <o:lock v:ext="edit" aspectratio="f"/>
                <v:textbox>
                  <w:txbxContent>
                    <w:p/>
                  </w:txbxContent>
                </v:textbox>
              </v:rect>
            </w:pict>
          </mc:Fallback>
        </mc:AlternateContent>
      </w:r>
      <w:r>
        <w:rPr>
          <w:rFonts w:hint="eastAsia"/>
          <w:color w:val="auto"/>
        </w:rPr>
        <w:t xml:space="preserve">  </w:t>
      </w:r>
    </w:p>
    <w:p>
      <w:pPr>
        <w:pStyle w:val="21"/>
        <w:spacing w:before="78" w:after="78"/>
        <w:jc w:val="center"/>
        <w:rPr>
          <w:b/>
          <w:bCs/>
          <w:color w:val="auto"/>
          <w:sz w:val="36"/>
          <w:szCs w:val="36"/>
        </w:rPr>
      </w:pPr>
    </w:p>
    <w:p>
      <w:pPr>
        <w:pStyle w:val="21"/>
        <w:spacing w:before="78" w:after="78"/>
        <w:jc w:val="center"/>
        <w:rPr>
          <w:b/>
          <w:bCs/>
          <w:color w:val="auto"/>
          <w:sz w:val="36"/>
          <w:szCs w:val="36"/>
        </w:rPr>
      </w:pPr>
      <w:r>
        <w:rPr>
          <w:rFonts w:hint="eastAsia"/>
          <w:b/>
          <w:bCs/>
          <w:color w:val="auto"/>
          <w:sz w:val="36"/>
          <w:szCs w:val="36"/>
        </w:rPr>
        <w:t>目   次</w:t>
      </w:r>
    </w:p>
    <w:p>
      <w:pPr>
        <w:pStyle w:val="21"/>
        <w:spacing w:before="78" w:after="78"/>
        <w:rPr>
          <w:color w:val="auto"/>
        </w:rPr>
      </w:pPr>
    </w:p>
    <w:p>
      <w:pPr>
        <w:pStyle w:val="21"/>
        <w:tabs>
          <w:tab w:val="right" w:leader="dot" w:pos="9637"/>
          <w:tab w:val="clear" w:pos="9241"/>
        </w:tabs>
      </w:pPr>
      <w:r>
        <w:rPr>
          <w:rFonts w:hint="eastAsia" w:hAnsi="宋体" w:cs="宋体"/>
          <w:color w:val="auto"/>
        </w:rPr>
        <w:fldChar w:fldCharType="begin"/>
      </w:r>
      <w:r>
        <w:rPr>
          <w:rFonts w:hint="eastAsia" w:hAnsi="宋体" w:cs="宋体"/>
          <w:color w:val="auto"/>
        </w:rPr>
        <w:instrText xml:space="preserve">TOC \o "1-1" \h \u </w:instrText>
      </w:r>
      <w:r>
        <w:rPr>
          <w:rFonts w:hint="eastAsia" w:hAnsi="宋体" w:cs="宋体"/>
          <w:color w:val="auto"/>
        </w:rPr>
        <w:fldChar w:fldCharType="separate"/>
      </w:r>
      <w:r>
        <w:rPr>
          <w:rFonts w:hint="eastAsia" w:hAnsi="宋体" w:cs="宋体"/>
          <w:color w:val="auto"/>
        </w:rPr>
        <w:fldChar w:fldCharType="begin"/>
      </w:r>
      <w:r>
        <w:rPr>
          <w:rFonts w:hint="eastAsia" w:hAnsi="宋体" w:cs="宋体"/>
        </w:rPr>
        <w:instrText xml:space="preserve"> HYPERLINK \l _Toc19924 </w:instrText>
      </w:r>
      <w:r>
        <w:rPr>
          <w:rFonts w:hint="eastAsia" w:hAnsi="宋体" w:cs="宋体"/>
        </w:rPr>
        <w:fldChar w:fldCharType="separate"/>
      </w:r>
      <w:r>
        <w:rPr>
          <w:rFonts w:hint="eastAsia"/>
        </w:rPr>
        <w:t>前言</w:t>
      </w:r>
      <w:r>
        <w:tab/>
      </w:r>
      <w:r>
        <w:fldChar w:fldCharType="begin"/>
      </w:r>
      <w:r>
        <w:instrText xml:space="preserve"> PAGEREF _Toc19924 </w:instrText>
      </w:r>
      <w:r>
        <w:fldChar w:fldCharType="separate"/>
      </w:r>
      <w:r>
        <w:t>II</w:t>
      </w:r>
      <w:r>
        <w:fldChar w:fldCharType="end"/>
      </w:r>
      <w:r>
        <w:rPr>
          <w:rFonts w:hint="eastAsia" w:hAnsi="宋体" w:cs="宋体"/>
          <w:color w:val="auto"/>
        </w:rPr>
        <w:fldChar w:fldCharType="end"/>
      </w:r>
    </w:p>
    <w:p>
      <w:pPr>
        <w:pStyle w:val="21"/>
        <w:tabs>
          <w:tab w:val="right" w:leader="dot" w:pos="9637"/>
          <w:tab w:val="clear" w:pos="9241"/>
        </w:tabs>
      </w:pPr>
      <w:r>
        <w:rPr>
          <w:rFonts w:hint="eastAsia" w:hAnsi="宋体" w:cs="宋体"/>
          <w:color w:val="auto"/>
        </w:rPr>
        <w:fldChar w:fldCharType="begin"/>
      </w:r>
      <w:r>
        <w:rPr>
          <w:rFonts w:hint="eastAsia" w:hAnsi="宋体" w:cs="宋体"/>
        </w:rPr>
        <w:instrText xml:space="preserve"> HYPERLINK \l _Toc23557 </w:instrText>
      </w:r>
      <w:r>
        <w:rPr>
          <w:rFonts w:hint="eastAsia" w:hAnsi="宋体" w:cs="宋体"/>
        </w:rPr>
        <w:fldChar w:fldCharType="separate"/>
      </w:r>
      <w:r>
        <w:rPr>
          <w:rFonts w:hint="default" w:ascii="宋体" w:eastAsia="宋体"/>
          <w:i w:val="0"/>
          <w:szCs w:val="22"/>
        </w:rPr>
        <w:t xml:space="preserve">1 </w:t>
      </w:r>
      <w:r>
        <w:rPr>
          <w:rFonts w:hint="eastAsia"/>
        </w:rPr>
        <w:t>范围</w:t>
      </w:r>
      <w:r>
        <w:tab/>
      </w:r>
      <w:r>
        <w:fldChar w:fldCharType="begin"/>
      </w:r>
      <w:r>
        <w:instrText xml:space="preserve"> PAGEREF _Toc23557 </w:instrText>
      </w:r>
      <w:r>
        <w:fldChar w:fldCharType="separate"/>
      </w:r>
      <w:r>
        <w:t>1</w:t>
      </w:r>
      <w:r>
        <w:fldChar w:fldCharType="end"/>
      </w:r>
      <w:r>
        <w:rPr>
          <w:rFonts w:hint="eastAsia" w:hAnsi="宋体" w:cs="宋体"/>
          <w:color w:val="auto"/>
        </w:rPr>
        <w:fldChar w:fldCharType="end"/>
      </w:r>
    </w:p>
    <w:p>
      <w:pPr>
        <w:pStyle w:val="21"/>
        <w:tabs>
          <w:tab w:val="right" w:leader="dot" w:pos="9637"/>
          <w:tab w:val="clear" w:pos="9241"/>
        </w:tabs>
      </w:pPr>
      <w:r>
        <w:rPr>
          <w:rFonts w:hint="eastAsia" w:hAnsi="宋体" w:cs="宋体"/>
          <w:color w:val="auto"/>
        </w:rPr>
        <w:fldChar w:fldCharType="begin"/>
      </w:r>
      <w:r>
        <w:rPr>
          <w:rFonts w:hint="eastAsia" w:hAnsi="宋体" w:cs="宋体"/>
        </w:rPr>
        <w:instrText xml:space="preserve"> HYPERLINK \l _Toc19851 </w:instrText>
      </w:r>
      <w:r>
        <w:rPr>
          <w:rFonts w:hint="eastAsia" w:hAnsi="宋体" w:cs="宋体"/>
        </w:rPr>
        <w:fldChar w:fldCharType="separate"/>
      </w:r>
      <w:r>
        <w:rPr>
          <w:rFonts w:hint="eastAsia" w:ascii="宋体" w:eastAsia="宋体"/>
          <w:i w:val="0"/>
          <w:szCs w:val="22"/>
        </w:rPr>
        <w:t xml:space="preserve">2 </w:t>
      </w:r>
      <w:r>
        <w:rPr>
          <w:rFonts w:hint="eastAsia"/>
        </w:rPr>
        <w:t>规范性引用文件</w:t>
      </w:r>
      <w:r>
        <w:tab/>
      </w:r>
      <w:r>
        <w:fldChar w:fldCharType="begin"/>
      </w:r>
      <w:r>
        <w:instrText xml:space="preserve"> PAGEREF _Toc19851 </w:instrText>
      </w:r>
      <w:r>
        <w:fldChar w:fldCharType="separate"/>
      </w:r>
      <w:r>
        <w:t>1</w:t>
      </w:r>
      <w:r>
        <w:fldChar w:fldCharType="end"/>
      </w:r>
      <w:r>
        <w:rPr>
          <w:rFonts w:hint="eastAsia" w:hAnsi="宋体" w:cs="宋体"/>
          <w:color w:val="auto"/>
        </w:rPr>
        <w:fldChar w:fldCharType="end"/>
      </w:r>
    </w:p>
    <w:p>
      <w:pPr>
        <w:pStyle w:val="21"/>
        <w:tabs>
          <w:tab w:val="right" w:leader="dot" w:pos="9637"/>
          <w:tab w:val="clear" w:pos="9241"/>
        </w:tabs>
      </w:pPr>
      <w:r>
        <w:rPr>
          <w:rFonts w:hint="eastAsia" w:hAnsi="宋体" w:cs="宋体"/>
          <w:color w:val="auto"/>
        </w:rPr>
        <w:fldChar w:fldCharType="begin"/>
      </w:r>
      <w:r>
        <w:rPr>
          <w:rFonts w:hint="eastAsia" w:hAnsi="宋体" w:cs="宋体"/>
        </w:rPr>
        <w:instrText xml:space="preserve"> HYPERLINK \l _Toc4266 </w:instrText>
      </w:r>
      <w:r>
        <w:rPr>
          <w:rFonts w:hint="eastAsia" w:hAnsi="宋体" w:cs="宋体"/>
        </w:rPr>
        <w:fldChar w:fldCharType="separate"/>
      </w:r>
      <w:r>
        <w:rPr>
          <w:rFonts w:hint="eastAsia" w:ascii="宋体" w:eastAsia="宋体"/>
          <w:i w:val="0"/>
          <w:szCs w:val="22"/>
        </w:rPr>
        <w:t xml:space="preserve">3 </w:t>
      </w:r>
      <w:r>
        <w:rPr>
          <w:rFonts w:hint="eastAsia"/>
        </w:rPr>
        <w:t>术语和定义</w:t>
      </w:r>
      <w:r>
        <w:tab/>
      </w:r>
      <w:r>
        <w:fldChar w:fldCharType="begin"/>
      </w:r>
      <w:r>
        <w:instrText xml:space="preserve"> PAGEREF _Toc4266 </w:instrText>
      </w:r>
      <w:r>
        <w:fldChar w:fldCharType="separate"/>
      </w:r>
      <w:r>
        <w:t>1</w:t>
      </w:r>
      <w:r>
        <w:fldChar w:fldCharType="end"/>
      </w:r>
      <w:r>
        <w:rPr>
          <w:rFonts w:hint="eastAsia" w:hAnsi="宋体" w:cs="宋体"/>
          <w:color w:val="auto"/>
        </w:rPr>
        <w:fldChar w:fldCharType="end"/>
      </w:r>
    </w:p>
    <w:p>
      <w:pPr>
        <w:pStyle w:val="21"/>
        <w:tabs>
          <w:tab w:val="right" w:leader="dot" w:pos="9637"/>
          <w:tab w:val="clear" w:pos="9241"/>
        </w:tabs>
      </w:pPr>
      <w:r>
        <w:rPr>
          <w:rFonts w:hint="eastAsia" w:hAnsi="宋体" w:cs="宋体"/>
          <w:color w:val="auto"/>
        </w:rPr>
        <w:fldChar w:fldCharType="begin"/>
      </w:r>
      <w:r>
        <w:rPr>
          <w:rFonts w:hint="eastAsia" w:hAnsi="宋体" w:cs="宋体"/>
        </w:rPr>
        <w:instrText xml:space="preserve"> HYPERLINK \l _Toc11812 </w:instrText>
      </w:r>
      <w:r>
        <w:rPr>
          <w:rFonts w:hint="eastAsia" w:hAnsi="宋体" w:cs="宋体"/>
        </w:rPr>
        <w:fldChar w:fldCharType="separate"/>
      </w:r>
      <w:r>
        <w:rPr>
          <w:rFonts w:hint="eastAsia" w:ascii="宋体" w:eastAsia="宋体"/>
          <w:i w:val="0"/>
          <w:szCs w:val="22"/>
        </w:rPr>
        <w:t xml:space="preserve">4 </w:t>
      </w:r>
      <w:r>
        <w:rPr>
          <w:rFonts w:hint="eastAsia"/>
        </w:rPr>
        <w:t>分类</w:t>
      </w:r>
      <w:r>
        <w:tab/>
      </w:r>
      <w:r>
        <w:fldChar w:fldCharType="begin"/>
      </w:r>
      <w:r>
        <w:instrText xml:space="preserve"> PAGEREF _Toc11812 </w:instrText>
      </w:r>
      <w:r>
        <w:fldChar w:fldCharType="separate"/>
      </w:r>
      <w:r>
        <w:t>2</w:t>
      </w:r>
      <w:r>
        <w:fldChar w:fldCharType="end"/>
      </w:r>
      <w:r>
        <w:rPr>
          <w:rFonts w:hint="eastAsia" w:hAnsi="宋体" w:cs="宋体"/>
          <w:color w:val="auto"/>
        </w:rPr>
        <w:fldChar w:fldCharType="end"/>
      </w:r>
    </w:p>
    <w:p>
      <w:pPr>
        <w:pStyle w:val="21"/>
        <w:tabs>
          <w:tab w:val="right" w:leader="dot" w:pos="9637"/>
          <w:tab w:val="clear" w:pos="9241"/>
        </w:tabs>
      </w:pPr>
      <w:r>
        <w:rPr>
          <w:rFonts w:hint="eastAsia" w:hAnsi="宋体" w:cs="宋体"/>
          <w:color w:val="auto"/>
        </w:rPr>
        <w:fldChar w:fldCharType="begin"/>
      </w:r>
      <w:r>
        <w:rPr>
          <w:rFonts w:hint="eastAsia" w:hAnsi="宋体" w:cs="宋体"/>
        </w:rPr>
        <w:instrText xml:space="preserve"> HYPERLINK \l _Toc22368 </w:instrText>
      </w:r>
      <w:r>
        <w:rPr>
          <w:rFonts w:hint="eastAsia" w:hAnsi="宋体" w:cs="宋体"/>
        </w:rPr>
        <w:fldChar w:fldCharType="separate"/>
      </w:r>
      <w:r>
        <w:rPr>
          <w:rFonts w:hint="eastAsia" w:ascii="宋体" w:eastAsia="宋体"/>
          <w:i w:val="0"/>
          <w:szCs w:val="22"/>
        </w:rPr>
        <w:t xml:space="preserve">5 </w:t>
      </w:r>
      <w:r>
        <w:rPr>
          <w:rFonts w:hint="eastAsia"/>
        </w:rPr>
        <w:t>总体要求</w:t>
      </w:r>
      <w:r>
        <w:tab/>
      </w:r>
      <w:r>
        <w:fldChar w:fldCharType="begin"/>
      </w:r>
      <w:r>
        <w:instrText xml:space="preserve"> PAGEREF _Toc22368 </w:instrText>
      </w:r>
      <w:r>
        <w:fldChar w:fldCharType="separate"/>
      </w:r>
      <w:r>
        <w:t>2</w:t>
      </w:r>
      <w:r>
        <w:fldChar w:fldCharType="end"/>
      </w:r>
      <w:r>
        <w:rPr>
          <w:rFonts w:hint="eastAsia" w:hAnsi="宋体" w:cs="宋体"/>
          <w:color w:val="auto"/>
        </w:rPr>
        <w:fldChar w:fldCharType="end"/>
      </w:r>
    </w:p>
    <w:p>
      <w:pPr>
        <w:pStyle w:val="21"/>
        <w:tabs>
          <w:tab w:val="right" w:leader="dot" w:pos="9637"/>
          <w:tab w:val="clear" w:pos="9241"/>
        </w:tabs>
      </w:pPr>
      <w:r>
        <w:rPr>
          <w:rFonts w:hint="eastAsia" w:hAnsi="宋体" w:cs="宋体"/>
          <w:color w:val="auto"/>
        </w:rPr>
        <w:fldChar w:fldCharType="begin"/>
      </w:r>
      <w:r>
        <w:rPr>
          <w:rFonts w:hint="eastAsia" w:hAnsi="宋体" w:cs="宋体"/>
        </w:rPr>
        <w:instrText xml:space="preserve"> HYPERLINK \l _Toc29732 </w:instrText>
      </w:r>
      <w:r>
        <w:rPr>
          <w:rFonts w:hint="eastAsia" w:hAnsi="宋体" w:cs="宋体"/>
        </w:rPr>
        <w:fldChar w:fldCharType="separate"/>
      </w:r>
      <w:r>
        <w:rPr>
          <w:rFonts w:hint="eastAsia" w:ascii="宋体" w:eastAsia="宋体"/>
          <w:i w:val="0"/>
          <w:szCs w:val="22"/>
        </w:rPr>
        <w:t xml:space="preserve">6 </w:t>
      </w:r>
      <w:r>
        <w:rPr>
          <w:rFonts w:hint="eastAsia"/>
          <w:szCs w:val="22"/>
        </w:rPr>
        <w:t>设施设备</w:t>
      </w:r>
      <w:r>
        <w:tab/>
      </w:r>
      <w:r>
        <w:fldChar w:fldCharType="begin"/>
      </w:r>
      <w:r>
        <w:instrText xml:space="preserve"> PAGEREF _Toc29732 </w:instrText>
      </w:r>
      <w:r>
        <w:fldChar w:fldCharType="separate"/>
      </w:r>
      <w:r>
        <w:t>2</w:t>
      </w:r>
      <w:r>
        <w:fldChar w:fldCharType="end"/>
      </w:r>
      <w:r>
        <w:rPr>
          <w:rFonts w:hint="eastAsia" w:hAnsi="宋体" w:cs="宋体"/>
          <w:color w:val="auto"/>
        </w:rPr>
        <w:fldChar w:fldCharType="end"/>
      </w:r>
    </w:p>
    <w:p>
      <w:pPr>
        <w:pStyle w:val="21"/>
        <w:tabs>
          <w:tab w:val="right" w:leader="dot" w:pos="9637"/>
          <w:tab w:val="clear" w:pos="9241"/>
        </w:tabs>
      </w:pPr>
      <w:r>
        <w:rPr>
          <w:rFonts w:hint="eastAsia" w:hAnsi="宋体" w:cs="宋体"/>
          <w:color w:val="auto"/>
        </w:rPr>
        <w:fldChar w:fldCharType="begin"/>
      </w:r>
      <w:r>
        <w:rPr>
          <w:rFonts w:hint="eastAsia" w:hAnsi="宋体" w:cs="宋体"/>
        </w:rPr>
        <w:instrText xml:space="preserve"> HYPERLINK \l _Toc15397 </w:instrText>
      </w:r>
      <w:r>
        <w:rPr>
          <w:rFonts w:hint="eastAsia" w:hAnsi="宋体" w:cs="宋体"/>
        </w:rPr>
        <w:fldChar w:fldCharType="separate"/>
      </w:r>
      <w:r>
        <w:rPr>
          <w:rFonts w:hint="eastAsia" w:ascii="宋体" w:eastAsia="宋体"/>
          <w:i w:val="0"/>
          <w:szCs w:val="22"/>
        </w:rPr>
        <w:t xml:space="preserve">7 </w:t>
      </w:r>
      <w:r>
        <w:rPr>
          <w:rFonts w:hint="eastAsia"/>
        </w:rPr>
        <w:t>信息平台</w:t>
      </w:r>
      <w:r>
        <w:tab/>
      </w:r>
      <w:r>
        <w:fldChar w:fldCharType="begin"/>
      </w:r>
      <w:r>
        <w:instrText xml:space="preserve"> PAGEREF _Toc15397 </w:instrText>
      </w:r>
      <w:r>
        <w:fldChar w:fldCharType="separate"/>
      </w:r>
      <w:r>
        <w:t>2</w:t>
      </w:r>
      <w:r>
        <w:fldChar w:fldCharType="end"/>
      </w:r>
      <w:r>
        <w:rPr>
          <w:rFonts w:hint="eastAsia" w:hAnsi="宋体" w:cs="宋体"/>
          <w:color w:val="auto"/>
        </w:rPr>
        <w:fldChar w:fldCharType="end"/>
      </w:r>
    </w:p>
    <w:p>
      <w:pPr>
        <w:pStyle w:val="21"/>
        <w:tabs>
          <w:tab w:val="right" w:leader="dot" w:pos="9637"/>
          <w:tab w:val="clear" w:pos="9241"/>
        </w:tabs>
      </w:pPr>
      <w:r>
        <w:rPr>
          <w:rFonts w:hint="eastAsia" w:hAnsi="宋体" w:cs="宋体"/>
          <w:color w:val="auto"/>
        </w:rPr>
        <w:fldChar w:fldCharType="begin"/>
      </w:r>
      <w:r>
        <w:rPr>
          <w:rFonts w:hint="eastAsia" w:hAnsi="宋体" w:cs="宋体"/>
        </w:rPr>
        <w:instrText xml:space="preserve"> HYPERLINK \l _Toc4647 </w:instrText>
      </w:r>
      <w:r>
        <w:rPr>
          <w:rFonts w:hint="eastAsia" w:hAnsi="宋体" w:cs="宋体"/>
        </w:rPr>
        <w:fldChar w:fldCharType="separate"/>
      </w:r>
      <w:r>
        <w:rPr>
          <w:rFonts w:hint="eastAsia" w:ascii="宋体" w:eastAsia="宋体"/>
          <w:i w:val="0"/>
          <w:szCs w:val="22"/>
        </w:rPr>
        <w:t xml:space="preserve">8 </w:t>
      </w:r>
      <w:r>
        <w:rPr>
          <w:rFonts w:hint="eastAsia"/>
          <w:szCs w:val="22"/>
          <w:lang w:eastAsia="zh-CN"/>
        </w:rPr>
        <w:t>作业流程</w:t>
      </w:r>
      <w:r>
        <w:tab/>
      </w:r>
      <w:r>
        <w:fldChar w:fldCharType="begin"/>
      </w:r>
      <w:r>
        <w:instrText xml:space="preserve"> PAGEREF _Toc4647 </w:instrText>
      </w:r>
      <w:r>
        <w:fldChar w:fldCharType="separate"/>
      </w:r>
      <w:r>
        <w:t>3</w:t>
      </w:r>
      <w:r>
        <w:fldChar w:fldCharType="end"/>
      </w:r>
      <w:r>
        <w:rPr>
          <w:rFonts w:hint="eastAsia" w:hAnsi="宋体" w:cs="宋体"/>
          <w:color w:val="auto"/>
        </w:rPr>
        <w:fldChar w:fldCharType="end"/>
      </w:r>
    </w:p>
    <w:p>
      <w:pPr>
        <w:pStyle w:val="21"/>
        <w:tabs>
          <w:tab w:val="right" w:leader="dot" w:pos="9637"/>
          <w:tab w:val="clear" w:pos="9241"/>
        </w:tabs>
      </w:pPr>
      <w:r>
        <w:rPr>
          <w:rFonts w:hint="eastAsia" w:hAnsi="宋体" w:cs="宋体"/>
          <w:color w:val="auto"/>
        </w:rPr>
        <w:fldChar w:fldCharType="begin"/>
      </w:r>
      <w:r>
        <w:rPr>
          <w:rFonts w:hint="eastAsia" w:hAnsi="宋体" w:cs="宋体"/>
        </w:rPr>
        <w:instrText xml:space="preserve"> HYPERLINK \l _Toc5294 </w:instrText>
      </w:r>
      <w:r>
        <w:rPr>
          <w:rFonts w:hint="eastAsia" w:hAnsi="宋体" w:cs="宋体"/>
        </w:rPr>
        <w:fldChar w:fldCharType="separate"/>
      </w:r>
      <w:r>
        <w:rPr>
          <w:rFonts w:hint="eastAsia"/>
          <w:szCs w:val="22"/>
        </w:rPr>
        <w:t>10  投诉处理</w:t>
      </w:r>
      <w:r>
        <w:tab/>
      </w:r>
      <w:r>
        <w:fldChar w:fldCharType="begin"/>
      </w:r>
      <w:r>
        <w:instrText xml:space="preserve"> PAGEREF _Toc5294 </w:instrText>
      </w:r>
      <w:r>
        <w:fldChar w:fldCharType="separate"/>
      </w:r>
      <w:r>
        <w:t>4</w:t>
      </w:r>
      <w:r>
        <w:fldChar w:fldCharType="end"/>
      </w:r>
      <w:r>
        <w:rPr>
          <w:rFonts w:hint="eastAsia" w:hAnsi="宋体" w:cs="宋体"/>
          <w:color w:val="auto"/>
        </w:rPr>
        <w:fldChar w:fldCharType="end"/>
      </w:r>
    </w:p>
    <w:p>
      <w:pPr>
        <w:pStyle w:val="21"/>
        <w:tabs>
          <w:tab w:val="right" w:leader="dot" w:pos="9637"/>
          <w:tab w:val="clear" w:pos="9241"/>
        </w:tabs>
      </w:pPr>
      <w:r>
        <w:rPr>
          <w:rFonts w:hint="eastAsia" w:hAnsi="宋体" w:cs="宋体"/>
          <w:color w:val="auto"/>
        </w:rPr>
        <w:fldChar w:fldCharType="begin"/>
      </w:r>
      <w:r>
        <w:rPr>
          <w:rFonts w:hint="eastAsia" w:hAnsi="宋体" w:cs="宋体"/>
        </w:rPr>
        <w:instrText xml:space="preserve"> HYPERLINK \l _Toc21555 </w:instrText>
      </w:r>
      <w:r>
        <w:rPr>
          <w:rFonts w:hint="eastAsia" w:hAnsi="宋体" w:cs="宋体"/>
        </w:rPr>
        <w:fldChar w:fldCharType="separate"/>
      </w:r>
      <w:r>
        <w:rPr>
          <w:rFonts w:hint="eastAsia"/>
          <w:szCs w:val="22"/>
        </w:rPr>
        <w:t>11  评价指标</w:t>
      </w:r>
      <w:r>
        <w:tab/>
      </w:r>
      <w:r>
        <w:fldChar w:fldCharType="begin"/>
      </w:r>
      <w:r>
        <w:instrText xml:space="preserve"> PAGEREF _Toc21555 </w:instrText>
      </w:r>
      <w:r>
        <w:fldChar w:fldCharType="separate"/>
      </w:r>
      <w:r>
        <w:t>5</w:t>
      </w:r>
      <w:r>
        <w:fldChar w:fldCharType="end"/>
      </w:r>
      <w:r>
        <w:rPr>
          <w:rFonts w:hint="eastAsia" w:hAnsi="宋体" w:cs="宋体"/>
          <w:color w:val="auto"/>
        </w:rPr>
        <w:fldChar w:fldCharType="end"/>
      </w:r>
    </w:p>
    <w:p>
      <w:pPr>
        <w:pStyle w:val="21"/>
        <w:tabs>
          <w:tab w:val="right" w:leader="dot" w:pos="9637"/>
          <w:tab w:val="clear" w:pos="9241"/>
        </w:tabs>
      </w:pPr>
      <w:r>
        <w:rPr>
          <w:rFonts w:hint="eastAsia" w:hAnsi="宋体" w:cs="宋体"/>
          <w:color w:val="auto"/>
        </w:rPr>
        <w:fldChar w:fldCharType="begin"/>
      </w:r>
      <w:r>
        <w:rPr>
          <w:rFonts w:hint="eastAsia" w:hAnsi="宋体" w:cs="宋体"/>
        </w:rPr>
        <w:instrText xml:space="preserve"> HYPERLINK \l _Toc14699 </w:instrText>
      </w:r>
      <w:r>
        <w:rPr>
          <w:rFonts w:hint="eastAsia" w:hAnsi="宋体" w:cs="宋体"/>
        </w:rPr>
        <w:fldChar w:fldCharType="separate"/>
      </w:r>
      <w:r>
        <w:rPr>
          <w:rFonts w:hint="eastAsia"/>
          <w:szCs w:val="22"/>
        </w:rPr>
        <w:t>参考文献</w:t>
      </w:r>
      <w:r>
        <w:tab/>
      </w:r>
      <w:r>
        <w:fldChar w:fldCharType="begin"/>
      </w:r>
      <w:r>
        <w:instrText xml:space="preserve"> PAGEREF _Toc14699 </w:instrText>
      </w:r>
      <w:r>
        <w:fldChar w:fldCharType="separate"/>
      </w:r>
      <w:r>
        <w:t>6</w:t>
      </w:r>
      <w:r>
        <w:fldChar w:fldCharType="end"/>
      </w:r>
      <w:r>
        <w:rPr>
          <w:rFonts w:hint="eastAsia" w:hAnsi="宋体" w:cs="宋体"/>
          <w:color w:val="auto"/>
        </w:rPr>
        <w:fldChar w:fldCharType="end"/>
      </w:r>
    </w:p>
    <w:p>
      <w:pPr>
        <w:pStyle w:val="21"/>
        <w:spacing w:before="78" w:after="78"/>
        <w:ind w:left="210" w:leftChars="100" w:firstLine="210" w:firstLineChars="100"/>
        <w:rPr>
          <w:color w:val="auto"/>
        </w:rPr>
      </w:pPr>
      <w:r>
        <w:rPr>
          <w:rFonts w:hint="eastAsia" w:hAnsi="宋体" w:cs="宋体"/>
          <w:color w:val="auto"/>
        </w:rPr>
        <w:fldChar w:fldCharType="end"/>
      </w:r>
    </w:p>
    <w:bookmarkEnd w:id="0"/>
    <w:bookmarkEnd w:id="1"/>
    <w:bookmarkEnd w:id="2"/>
    <w:p>
      <w:pPr>
        <w:pStyle w:val="95"/>
        <w:rPr>
          <w:color w:val="auto"/>
        </w:rPr>
      </w:pPr>
      <w:bookmarkStart w:id="3" w:name="_Toc11545"/>
      <w:bookmarkStart w:id="4" w:name="_Toc24883"/>
      <w:bookmarkStart w:id="5" w:name="_Toc429360361"/>
      <w:bookmarkStart w:id="6" w:name="_Toc12027"/>
      <w:bookmarkStart w:id="7" w:name="_Toc20174"/>
      <w:bookmarkStart w:id="8" w:name="_Toc82761248"/>
      <w:bookmarkStart w:id="9" w:name="_Toc19924"/>
      <w:bookmarkStart w:id="10" w:name="_Toc11362"/>
      <w:bookmarkStart w:id="11" w:name="_Toc10922"/>
      <w:bookmarkStart w:id="12" w:name="StandardName"/>
      <w:r>
        <w:rPr>
          <w:rFonts w:hint="eastAsia"/>
          <w:color w:val="auto"/>
        </w:rPr>
        <w:t>前</w:t>
      </w:r>
      <w:bookmarkStart w:id="13" w:name="BKQY"/>
      <w:r>
        <w:rPr>
          <w:rFonts w:hAnsi="黑体"/>
          <w:color w:val="auto"/>
        </w:rPr>
        <w:t>  </w:t>
      </w:r>
      <w:r>
        <w:rPr>
          <w:rFonts w:hint="eastAsia"/>
          <w:color w:val="auto"/>
        </w:rPr>
        <w:t>言</w:t>
      </w:r>
      <w:bookmarkEnd w:id="3"/>
      <w:bookmarkEnd w:id="4"/>
      <w:bookmarkEnd w:id="5"/>
      <w:bookmarkEnd w:id="6"/>
      <w:bookmarkEnd w:id="7"/>
      <w:bookmarkEnd w:id="8"/>
      <w:bookmarkEnd w:id="9"/>
      <w:bookmarkEnd w:id="10"/>
      <w:bookmarkEnd w:id="11"/>
      <w:bookmarkEnd w:id="13"/>
    </w:p>
    <w:p>
      <w:pPr>
        <w:pStyle w:val="25"/>
        <w:rPr>
          <w:color w:val="auto"/>
        </w:rPr>
      </w:pPr>
      <w:r>
        <w:rPr>
          <w:rFonts w:hint="eastAsia"/>
          <w:color w:val="auto"/>
        </w:rPr>
        <w:t>本文件按照GB/T 1.1-2020《标准化工作导则 第1部分：标准化文件的结构和起草规则》的规定起草。</w:t>
      </w:r>
    </w:p>
    <w:p>
      <w:pPr>
        <w:pStyle w:val="25"/>
        <w:rPr>
          <w:rFonts w:hint="eastAsia" w:eastAsia="宋体"/>
          <w:color w:val="auto"/>
          <w:lang w:eastAsia="zh-CN"/>
        </w:rPr>
      </w:pPr>
      <w:bookmarkStart w:id="14" w:name="_Toc4583"/>
      <w:bookmarkStart w:id="15" w:name="_Toc3397"/>
      <w:r>
        <w:rPr>
          <w:rFonts w:hint="eastAsia"/>
          <w:color w:val="auto"/>
        </w:rPr>
        <w:t>本文件起草单位：</w:t>
      </w:r>
    </w:p>
    <w:p>
      <w:pPr>
        <w:pStyle w:val="25"/>
        <w:rPr>
          <w:color w:val="auto"/>
        </w:rPr>
      </w:pPr>
      <w:r>
        <w:rPr>
          <w:rFonts w:hint="eastAsia"/>
          <w:color w:val="auto"/>
        </w:rPr>
        <w:t>本文件主要起草人：</w:t>
      </w:r>
    </w:p>
    <w:p>
      <w:pPr>
        <w:pStyle w:val="25"/>
        <w:rPr>
          <w:color w:val="auto"/>
        </w:rPr>
      </w:pPr>
      <w:r>
        <w:rPr>
          <w:rFonts w:hint="eastAsia"/>
          <w:color w:val="auto"/>
        </w:rPr>
        <w:t>本文件及其所代替文件的历次版本发布情况为：</w:t>
      </w:r>
    </w:p>
    <w:p>
      <w:pPr>
        <w:pStyle w:val="25"/>
        <w:rPr>
          <w:color w:val="auto"/>
        </w:rPr>
      </w:pPr>
      <w:r>
        <w:rPr>
          <w:rFonts w:hint="eastAsia"/>
          <w:color w:val="auto"/>
        </w:rPr>
        <w:t>——本文件为首次发布。  </w:t>
      </w:r>
    </w:p>
    <w:p>
      <w:pPr>
        <w:pStyle w:val="90"/>
        <w:rPr>
          <w:color w:val="auto"/>
        </w:rPr>
        <w:sectPr>
          <w:headerReference r:id="rId3" w:type="default"/>
          <w:footerReference r:id="rId4" w:type="default"/>
          <w:pgSz w:w="11906" w:h="16838"/>
          <w:pgMar w:top="567" w:right="851" w:bottom="1134" w:left="1418" w:header="1418" w:footer="1134" w:gutter="0"/>
          <w:pgNumType w:fmt="upperRoman" w:start="1"/>
          <w:cols w:space="720" w:num="1"/>
          <w:formProt w:val="0"/>
          <w:docGrid w:type="lines" w:linePitch="312" w:charSpace="0"/>
        </w:sectPr>
      </w:pPr>
      <w:bookmarkStart w:id="16" w:name="_Toc29296"/>
      <w:bookmarkStart w:id="17" w:name="_Toc82761249"/>
    </w:p>
    <w:p>
      <w:pPr>
        <w:pStyle w:val="90"/>
        <w:rPr>
          <w:color w:val="auto"/>
        </w:rPr>
      </w:pPr>
      <w:bookmarkStart w:id="18" w:name="_Toc16063"/>
      <w:bookmarkStart w:id="19" w:name="_Toc32533"/>
      <w:bookmarkStart w:id="20" w:name="_Toc17263"/>
      <w:bookmarkStart w:id="21" w:name="_Toc1843"/>
      <w:bookmarkStart w:id="22" w:name="_Toc16848"/>
      <w:r>
        <w:rPr>
          <w:rFonts w:hint="eastAsia"/>
          <w:color w:val="auto"/>
        </w:rPr>
        <w:t>同城物流配送服务</w:t>
      </w:r>
      <w:bookmarkEnd w:id="12"/>
      <w:r>
        <w:rPr>
          <w:rFonts w:hint="eastAsia"/>
          <w:color w:val="auto"/>
        </w:rPr>
        <w:t>规范</w:t>
      </w:r>
      <w:bookmarkEnd w:id="14"/>
      <w:bookmarkEnd w:id="15"/>
      <w:bookmarkEnd w:id="16"/>
      <w:bookmarkEnd w:id="17"/>
      <w:bookmarkEnd w:id="18"/>
      <w:bookmarkEnd w:id="19"/>
      <w:bookmarkEnd w:id="20"/>
      <w:bookmarkEnd w:id="21"/>
      <w:bookmarkEnd w:id="22"/>
    </w:p>
    <w:p>
      <w:pPr>
        <w:pStyle w:val="45"/>
        <w:spacing w:before="312" w:after="312"/>
        <w:rPr>
          <w:color w:val="auto"/>
        </w:rPr>
      </w:pPr>
      <w:bookmarkStart w:id="23" w:name="_Toc16425"/>
      <w:bookmarkStart w:id="24" w:name="_Toc23557"/>
      <w:bookmarkStart w:id="25" w:name="_Toc5505"/>
      <w:bookmarkStart w:id="26" w:name="_Toc18969"/>
      <w:bookmarkStart w:id="27" w:name="_Toc4218"/>
      <w:bookmarkStart w:id="28" w:name="_Toc364084980"/>
      <w:bookmarkStart w:id="29" w:name="_Toc82761250"/>
      <w:bookmarkStart w:id="30" w:name="_Toc1496"/>
      <w:bookmarkStart w:id="31" w:name="_Toc388886989"/>
      <w:bookmarkStart w:id="32" w:name="_Toc364432247"/>
      <w:bookmarkStart w:id="33" w:name="_Toc13011"/>
      <w:r>
        <w:rPr>
          <w:rFonts w:hint="eastAsia"/>
          <w:color w:val="auto"/>
        </w:rPr>
        <w:t>范围</w:t>
      </w:r>
      <w:bookmarkEnd w:id="23"/>
      <w:bookmarkEnd w:id="24"/>
      <w:bookmarkEnd w:id="25"/>
      <w:bookmarkEnd w:id="26"/>
      <w:bookmarkEnd w:id="27"/>
      <w:bookmarkEnd w:id="28"/>
      <w:bookmarkEnd w:id="29"/>
      <w:bookmarkEnd w:id="30"/>
      <w:bookmarkEnd w:id="31"/>
      <w:bookmarkEnd w:id="32"/>
      <w:bookmarkEnd w:id="33"/>
    </w:p>
    <w:p>
      <w:pPr>
        <w:pStyle w:val="25"/>
        <w:rPr>
          <w:color w:val="auto"/>
          <w:szCs w:val="22"/>
        </w:rPr>
      </w:pPr>
      <w:r>
        <w:rPr>
          <w:rFonts w:hint="eastAsia"/>
          <w:color w:val="auto"/>
          <w:szCs w:val="22"/>
        </w:rPr>
        <w:t>本文件规定了同城物流配送服务的总体要求及设施设备、信息平台、</w:t>
      </w:r>
      <w:r>
        <w:rPr>
          <w:rFonts w:hint="eastAsia"/>
          <w:color w:val="auto"/>
          <w:szCs w:val="22"/>
          <w:lang w:eastAsia="zh-CN"/>
        </w:rPr>
        <w:t>作业流程</w:t>
      </w:r>
      <w:r>
        <w:rPr>
          <w:rFonts w:hint="eastAsia"/>
          <w:color w:val="auto"/>
          <w:szCs w:val="22"/>
        </w:rPr>
        <w:t>、风险与防范、投诉处理等要求</w:t>
      </w:r>
      <w:r>
        <w:rPr>
          <w:color w:val="auto"/>
          <w:szCs w:val="22"/>
        </w:rPr>
        <w:t>，给出了</w:t>
      </w:r>
      <w:r>
        <w:rPr>
          <w:rFonts w:hint="eastAsia"/>
          <w:color w:val="auto"/>
          <w:szCs w:val="22"/>
        </w:rPr>
        <w:t>评价指标。</w:t>
      </w:r>
    </w:p>
    <w:p>
      <w:pPr>
        <w:pStyle w:val="25"/>
        <w:rPr>
          <w:color w:val="auto"/>
          <w:szCs w:val="22"/>
        </w:rPr>
      </w:pPr>
      <w:r>
        <w:rPr>
          <w:rFonts w:hint="eastAsia"/>
          <w:color w:val="auto"/>
          <w:szCs w:val="22"/>
        </w:rPr>
        <w:t>本文件适用于提供一般货物同城物流配送服务的组织及相关主体。</w:t>
      </w:r>
    </w:p>
    <w:p>
      <w:pPr>
        <w:pStyle w:val="45"/>
        <w:spacing w:before="312" w:after="312"/>
        <w:rPr>
          <w:color w:val="auto"/>
        </w:rPr>
      </w:pPr>
      <w:bookmarkStart w:id="34" w:name="_Toc364084981"/>
      <w:bookmarkStart w:id="35" w:name="_Toc82761251"/>
      <w:bookmarkStart w:id="36" w:name="_Toc13004"/>
      <w:bookmarkStart w:id="37" w:name="_Toc9740"/>
      <w:bookmarkStart w:id="38" w:name="_Toc31137"/>
      <w:bookmarkStart w:id="39" w:name="_Toc18349"/>
      <w:bookmarkStart w:id="40" w:name="_Toc15271"/>
      <w:bookmarkStart w:id="41" w:name="_Toc19851"/>
      <w:bookmarkStart w:id="42" w:name="_Toc364432248"/>
      <w:bookmarkStart w:id="43" w:name="_Toc388886990"/>
      <w:bookmarkStart w:id="44" w:name="_Toc17668"/>
      <w:r>
        <w:rPr>
          <w:rFonts w:hint="eastAsia"/>
          <w:color w:val="auto"/>
        </w:rPr>
        <w:t>规范性引用文件</w:t>
      </w:r>
      <w:bookmarkEnd w:id="34"/>
      <w:bookmarkEnd w:id="35"/>
      <w:bookmarkEnd w:id="36"/>
      <w:bookmarkEnd w:id="37"/>
      <w:bookmarkEnd w:id="38"/>
      <w:bookmarkEnd w:id="39"/>
      <w:bookmarkEnd w:id="40"/>
      <w:bookmarkEnd w:id="41"/>
      <w:bookmarkEnd w:id="42"/>
      <w:bookmarkEnd w:id="43"/>
      <w:bookmarkEnd w:id="44"/>
    </w:p>
    <w:p>
      <w:pPr>
        <w:pStyle w:val="25"/>
        <w:rPr>
          <w:color w:val="auto"/>
        </w:rPr>
      </w:pPr>
      <w:r>
        <w:rPr>
          <w:rFonts w:hint="eastAsia"/>
          <w:color w:val="auto"/>
        </w:rPr>
        <w:t>下列文件的内容通过文中的规范性引用而构成本文件必不可少的条款。其中，注日期的引用文件，仅该日期对应的版本适用于本文件；不注日期的引用文件，其最新版本（包括所有的修改单）适用于本文件。</w:t>
      </w:r>
    </w:p>
    <w:p>
      <w:pPr>
        <w:pStyle w:val="25"/>
        <w:rPr>
          <w:color w:val="auto"/>
        </w:rPr>
      </w:pPr>
      <w:r>
        <w:rPr>
          <w:rFonts w:hint="eastAsia"/>
          <w:color w:val="auto"/>
        </w:rPr>
        <w:t>GB 811  摩托车乘员头盔</w:t>
      </w:r>
    </w:p>
    <w:p>
      <w:pPr>
        <w:pStyle w:val="25"/>
        <w:rPr>
          <w:rStyle w:val="39"/>
          <w:color w:val="auto"/>
        </w:rPr>
      </w:pPr>
      <w:r>
        <w:rPr>
          <w:rFonts w:hint="eastAsia"/>
          <w:color w:val="auto"/>
        </w:rPr>
        <w:t>GB 7258  机动车运行安全技术条件</w:t>
      </w:r>
      <w:r>
        <w:rPr>
          <w:rFonts w:hint="eastAsia"/>
          <w:color w:val="auto"/>
          <w:szCs w:val="22"/>
        </w:rPr>
        <w:t xml:space="preserve"> </w:t>
      </w:r>
    </w:p>
    <w:p>
      <w:pPr>
        <w:pStyle w:val="25"/>
        <w:rPr>
          <w:color w:val="auto"/>
        </w:rPr>
      </w:pPr>
      <w:r>
        <w:rPr>
          <w:rFonts w:hint="eastAsia"/>
          <w:color w:val="auto"/>
          <w:szCs w:val="22"/>
        </w:rPr>
        <w:t>GB 17761  电动自行车安全技术规范</w:t>
      </w:r>
    </w:p>
    <w:p>
      <w:pPr>
        <w:pStyle w:val="25"/>
        <w:rPr>
          <w:color w:val="auto"/>
        </w:rPr>
      </w:pPr>
      <w:r>
        <w:rPr>
          <w:rFonts w:hint="eastAsia"/>
          <w:color w:val="auto"/>
        </w:rPr>
        <w:t>GB 18384  电动汽车安全要求</w:t>
      </w:r>
    </w:p>
    <w:p>
      <w:pPr>
        <w:pStyle w:val="25"/>
        <w:rPr>
          <w:color w:val="auto"/>
        </w:rPr>
      </w:pPr>
      <w:r>
        <w:rPr>
          <w:color w:val="auto"/>
        </w:rPr>
        <w:t>GB/T 22239</w:t>
      </w:r>
      <w:r>
        <w:rPr>
          <w:rFonts w:hint="eastAsia"/>
          <w:color w:val="auto"/>
        </w:rPr>
        <w:t>-2008  信息安全技术 网络安全等级保护基本要求</w:t>
      </w:r>
    </w:p>
    <w:p>
      <w:pPr>
        <w:pStyle w:val="25"/>
        <w:rPr>
          <w:color w:val="auto"/>
          <w:szCs w:val="21"/>
        </w:rPr>
      </w:pPr>
      <w:r>
        <w:rPr>
          <w:rFonts w:hint="eastAsia"/>
          <w:color w:val="auto"/>
          <w:szCs w:val="21"/>
        </w:rPr>
        <w:t>GB/T 22263.7-2010  物流公共信息平台应用开发指南 第7部分：平台服务管理</w:t>
      </w:r>
    </w:p>
    <w:p>
      <w:pPr>
        <w:pStyle w:val="25"/>
        <w:rPr>
          <w:color w:val="auto"/>
        </w:rPr>
      </w:pPr>
      <w:r>
        <w:rPr>
          <w:rFonts w:hint="eastAsia"/>
          <w:color w:val="auto"/>
        </w:rPr>
        <w:t>GB 24155  电动摩托车和电动轻便摩托车安全要求</w:t>
      </w:r>
    </w:p>
    <w:p>
      <w:pPr>
        <w:pStyle w:val="25"/>
        <w:rPr>
          <w:color w:val="auto"/>
        </w:rPr>
      </w:pPr>
      <w:r>
        <w:rPr>
          <w:rFonts w:hint="eastAsia"/>
          <w:color w:val="auto"/>
          <w:szCs w:val="21"/>
        </w:rPr>
        <w:t>GB/T 26772  运输与仓储业务数据交换应用规范</w:t>
      </w:r>
    </w:p>
    <w:p>
      <w:pPr>
        <w:pStyle w:val="25"/>
        <w:rPr>
          <w:color w:val="auto"/>
        </w:rPr>
      </w:pPr>
      <w:r>
        <w:rPr>
          <w:rFonts w:hint="eastAsia"/>
          <w:color w:val="auto"/>
        </w:rPr>
        <w:t>GB/T 29912  城市物流配送汽车选型技术要求</w:t>
      </w:r>
    </w:p>
    <w:p>
      <w:pPr>
        <w:pStyle w:val="25"/>
        <w:rPr>
          <w:rFonts w:hAnsi="宋体" w:cs="宋体"/>
          <w:color w:val="auto"/>
          <w:szCs w:val="22"/>
        </w:rPr>
      </w:pPr>
      <w:r>
        <w:rPr>
          <w:rFonts w:hint="eastAsia" w:hAnsi="宋体" w:cs="宋体"/>
          <w:color w:val="auto"/>
          <w:szCs w:val="22"/>
        </w:rPr>
        <w:t>GB/T 35273  信息安全技术 个人信息安全规范</w:t>
      </w:r>
    </w:p>
    <w:p>
      <w:pPr>
        <w:pStyle w:val="25"/>
        <w:rPr>
          <w:rFonts w:hAnsi="宋体"/>
          <w:color w:val="auto"/>
          <w:kern w:val="2"/>
          <w:szCs w:val="21"/>
        </w:rPr>
      </w:pPr>
      <w:r>
        <w:rPr>
          <w:rFonts w:hint="eastAsia" w:hAnsi="宋体"/>
          <w:color w:val="auto"/>
          <w:kern w:val="2"/>
          <w:szCs w:val="21"/>
        </w:rPr>
        <w:t>SB/T 11132-2015</w:t>
      </w:r>
      <w:r>
        <w:rPr>
          <w:rFonts w:hint="eastAsia"/>
          <w:color w:val="auto"/>
          <w:szCs w:val="21"/>
        </w:rPr>
        <w:t xml:space="preserve">  </w:t>
      </w:r>
      <w:r>
        <w:rPr>
          <w:rFonts w:hint="eastAsia" w:hAnsi="宋体"/>
          <w:color w:val="auto"/>
          <w:kern w:val="2"/>
          <w:szCs w:val="21"/>
        </w:rPr>
        <w:t>电子商务物流服务规范</w:t>
      </w:r>
    </w:p>
    <w:p>
      <w:pPr>
        <w:pStyle w:val="25"/>
        <w:rPr>
          <w:color w:val="auto"/>
        </w:rPr>
      </w:pPr>
      <w:r>
        <w:rPr>
          <w:rFonts w:hint="eastAsia"/>
          <w:color w:val="auto"/>
        </w:rPr>
        <w:t>YZ/T 0136</w:t>
      </w:r>
      <w:r>
        <w:rPr>
          <w:rFonts w:hint="eastAsia"/>
          <w:color w:val="auto"/>
          <w:szCs w:val="21"/>
        </w:rPr>
        <w:t xml:space="preserve">  </w:t>
      </w:r>
      <w:r>
        <w:rPr>
          <w:rFonts w:hint="eastAsia"/>
          <w:color w:val="auto"/>
        </w:rPr>
        <w:t>快递专用电动三轮车技术要求</w:t>
      </w:r>
    </w:p>
    <w:p>
      <w:pPr>
        <w:pStyle w:val="45"/>
        <w:spacing w:before="312" w:after="312"/>
        <w:rPr>
          <w:color w:val="auto"/>
        </w:rPr>
      </w:pPr>
      <w:bookmarkStart w:id="45" w:name="_Toc22172"/>
      <w:bookmarkStart w:id="46" w:name="_Toc15667"/>
      <w:bookmarkStart w:id="47" w:name="_Toc364084982"/>
      <w:bookmarkStart w:id="48" w:name="_Toc388886991"/>
      <w:bookmarkStart w:id="49" w:name="_Toc18772"/>
      <w:bookmarkStart w:id="50" w:name="_Toc16373"/>
      <w:bookmarkStart w:id="51" w:name="_Toc82761252"/>
      <w:bookmarkStart w:id="52" w:name="_Toc12115"/>
      <w:bookmarkStart w:id="53" w:name="_Toc4266"/>
      <w:bookmarkStart w:id="54" w:name="_Toc364432249"/>
      <w:bookmarkStart w:id="55" w:name="_Toc29001"/>
      <w:r>
        <w:rPr>
          <w:rFonts w:hint="eastAsia"/>
          <w:color w:val="auto"/>
        </w:rPr>
        <w:t>术语和定义</w:t>
      </w:r>
      <w:bookmarkEnd w:id="45"/>
      <w:bookmarkEnd w:id="46"/>
      <w:bookmarkEnd w:id="47"/>
      <w:bookmarkEnd w:id="48"/>
      <w:bookmarkEnd w:id="49"/>
      <w:bookmarkEnd w:id="50"/>
      <w:bookmarkEnd w:id="51"/>
      <w:bookmarkEnd w:id="52"/>
      <w:bookmarkEnd w:id="53"/>
      <w:bookmarkEnd w:id="54"/>
      <w:bookmarkEnd w:id="55"/>
    </w:p>
    <w:p>
      <w:pPr>
        <w:pStyle w:val="25"/>
        <w:rPr>
          <w:color w:val="auto"/>
        </w:rPr>
      </w:pPr>
      <w:r>
        <w:rPr>
          <w:rFonts w:hint="eastAsia" w:hAnsi="宋体"/>
          <w:color w:val="auto"/>
          <w:szCs w:val="21"/>
        </w:rPr>
        <w:t>下列术语和定义适用于本文件</w:t>
      </w:r>
      <w:r>
        <w:rPr>
          <w:rFonts w:hint="eastAsia"/>
          <w:color w:val="auto"/>
        </w:rPr>
        <w:t>。</w:t>
      </w:r>
    </w:p>
    <w:p>
      <w:pPr>
        <w:pStyle w:val="108"/>
        <w:ind w:left="420" w:hanging="420" w:hangingChars="200"/>
        <w:rPr>
          <w:color w:val="auto"/>
        </w:rPr>
      </w:pPr>
      <w:bookmarkStart w:id="56" w:name="_Toc388886995"/>
      <w:r>
        <w:rPr>
          <w:rFonts w:hint="eastAsia" w:ascii="黑体" w:hAnsi="黑体" w:eastAsia="黑体"/>
          <w:color w:val="auto"/>
        </w:rPr>
        <w:t xml:space="preserve"> </w:t>
      </w:r>
      <w:r>
        <w:rPr>
          <w:rFonts w:hint="eastAsia"/>
          <w:color w:val="auto"/>
          <w:szCs w:val="22"/>
        </w:rPr>
        <w:t xml:space="preserve">                                                                                                                                                                                                                                                                                                                                                                                                                                                                                                                                                                                                                                                                                                                                                                                   </w:t>
      </w:r>
      <w:bookmarkEnd w:id="56"/>
      <w:bookmarkStart w:id="57" w:name="_Toc364084985"/>
      <w:bookmarkEnd w:id="57"/>
      <w:bookmarkStart w:id="58" w:name="_Toc388886996"/>
      <w:bookmarkEnd w:id="58"/>
      <w:bookmarkStart w:id="59" w:name="_Toc364432252"/>
      <w:bookmarkEnd w:id="59"/>
      <w:bookmarkStart w:id="60" w:name="_Toc364084986"/>
      <w:bookmarkStart w:id="61" w:name="_Toc388886997"/>
      <w:bookmarkStart w:id="62" w:name="_Toc364432253"/>
    </w:p>
    <w:p>
      <w:pPr>
        <w:pStyle w:val="58"/>
        <w:numPr>
          <w:ilvl w:val="0"/>
          <w:numId w:val="0"/>
        </w:numPr>
        <w:ind w:firstLine="420" w:firstLineChars="200"/>
        <w:rPr>
          <w:color w:val="auto"/>
          <w:szCs w:val="22"/>
        </w:rPr>
      </w:pPr>
      <w:r>
        <w:rPr>
          <w:rFonts w:hint="eastAsia"/>
          <w:color w:val="auto"/>
        </w:rPr>
        <w:t>同城物流配送</w:t>
      </w:r>
      <w:r>
        <w:rPr>
          <w:rFonts w:hint="eastAsia" w:ascii="宋体" w:hAnsi="宋体" w:cs="宋体"/>
          <w:b/>
          <w:color w:val="auto"/>
          <w:sz w:val="24"/>
          <w:shd w:val="clear" w:color="auto" w:fill="FFFFFF"/>
          <w:lang w:bidi="ar"/>
        </w:rPr>
        <w:t xml:space="preserve"> </w:t>
      </w:r>
      <w:r>
        <w:rPr>
          <w:rFonts w:hint="eastAsia"/>
          <w:color w:val="auto"/>
        </w:rPr>
        <w:t xml:space="preserve"> city </w:t>
      </w:r>
      <w:r>
        <w:rPr>
          <w:rFonts w:hint="eastAsia"/>
          <w:color w:val="auto"/>
          <w:szCs w:val="22"/>
        </w:rPr>
        <w:t>logistics</w:t>
      </w:r>
      <w:r>
        <w:rPr>
          <w:rFonts w:hint="eastAsia"/>
          <w:color w:val="auto"/>
        </w:rPr>
        <w:t xml:space="preserve"> delivery </w:t>
      </w:r>
    </w:p>
    <w:p>
      <w:pPr>
        <w:pStyle w:val="58"/>
        <w:numPr>
          <w:ilvl w:val="0"/>
          <w:numId w:val="0"/>
        </w:numPr>
        <w:spacing w:before="0" w:beforeLines="0" w:after="0" w:afterLines="0"/>
        <w:ind w:firstLine="420" w:firstLineChars="200"/>
        <w:rPr>
          <w:rFonts w:ascii="宋体" w:hAnsi="宋体" w:eastAsia="宋体"/>
          <w:color w:val="auto"/>
        </w:rPr>
      </w:pPr>
      <w:r>
        <w:rPr>
          <w:rFonts w:hint="eastAsia" w:ascii="宋体" w:hAnsi="宋体" w:eastAsia="宋体"/>
          <w:color w:val="auto"/>
        </w:rPr>
        <w:t>在同一城市（圈）内将货物定时、定量送达客户指定地点的物流活动。</w:t>
      </w:r>
    </w:p>
    <w:p>
      <w:pPr>
        <w:pStyle w:val="58"/>
        <w:numPr>
          <w:ilvl w:val="0"/>
          <w:numId w:val="0"/>
        </w:numPr>
        <w:spacing w:before="0" w:beforeLines="0" w:after="0" w:afterLines="0"/>
        <w:ind w:firstLine="360" w:firstLineChars="200"/>
        <w:rPr>
          <w:color w:val="auto"/>
        </w:rPr>
      </w:pPr>
      <w:r>
        <w:rPr>
          <w:rFonts w:hint="eastAsia" w:hAnsi="黑体" w:cs="黑体"/>
          <w:color w:val="auto"/>
          <w:sz w:val="18"/>
          <w:szCs w:val="18"/>
        </w:rPr>
        <w:t>注：</w:t>
      </w:r>
      <w:r>
        <w:rPr>
          <w:rFonts w:hint="eastAsia" w:ascii="宋体" w:hAnsi="宋体" w:eastAsia="宋体"/>
          <w:color w:val="auto"/>
          <w:sz w:val="18"/>
          <w:szCs w:val="18"/>
        </w:rPr>
        <w:t xml:space="preserve">具有本地化、高频率、快捷性等特点。 </w:t>
      </w:r>
      <w:r>
        <w:rPr>
          <w:rFonts w:hint="eastAsia" w:ascii="宋体" w:eastAsia="宋体"/>
          <w:color w:val="auto"/>
          <w:sz w:val="18"/>
          <w:szCs w:val="18"/>
        </w:rPr>
        <w:t xml:space="preserve"> </w:t>
      </w:r>
      <w:r>
        <w:rPr>
          <w:rFonts w:hint="eastAsia"/>
          <w:color w:val="auto"/>
          <w:szCs w:val="22"/>
        </w:rPr>
        <w:t xml:space="preserve"> </w:t>
      </w:r>
    </w:p>
    <w:p>
      <w:pPr>
        <w:pStyle w:val="108"/>
        <w:ind w:left="420" w:hanging="420" w:hangingChars="200"/>
        <w:rPr>
          <w:rFonts w:ascii="黑体" w:hAnsi="黑体" w:eastAsia="黑体"/>
          <w:color w:val="auto"/>
        </w:rPr>
      </w:pPr>
    </w:p>
    <w:bookmarkEnd w:id="60"/>
    <w:bookmarkEnd w:id="61"/>
    <w:bookmarkEnd w:id="62"/>
    <w:p>
      <w:pPr>
        <w:pStyle w:val="58"/>
        <w:numPr>
          <w:ilvl w:val="0"/>
          <w:numId w:val="0"/>
        </w:numPr>
        <w:ind w:firstLine="420" w:firstLineChars="200"/>
        <w:rPr>
          <w:color w:val="auto"/>
        </w:rPr>
      </w:pPr>
      <w:bookmarkStart w:id="63" w:name="_Toc364432257"/>
      <w:bookmarkStart w:id="64" w:name="_Toc388887001"/>
      <w:bookmarkStart w:id="65" w:name="_Toc364084990"/>
      <w:bookmarkStart w:id="66" w:name="_Toc217717268"/>
      <w:r>
        <w:rPr>
          <w:rFonts w:hint="eastAsia"/>
          <w:color w:val="auto"/>
        </w:rPr>
        <w:t>同城物流配送服务企业</w:t>
      </w:r>
      <w:bookmarkEnd w:id="63"/>
      <w:bookmarkEnd w:id="64"/>
      <w:bookmarkEnd w:id="65"/>
      <w:bookmarkEnd w:id="66"/>
      <w:r>
        <w:rPr>
          <w:rFonts w:hint="eastAsia"/>
          <w:color w:val="auto"/>
        </w:rPr>
        <w:t xml:space="preserve">  city logistics delivery service enterprise</w:t>
      </w:r>
    </w:p>
    <w:p>
      <w:pPr>
        <w:pStyle w:val="58"/>
        <w:numPr>
          <w:ilvl w:val="0"/>
          <w:numId w:val="0"/>
        </w:numPr>
        <w:spacing w:before="0" w:beforeLines="0" w:after="0" w:afterLines="0"/>
        <w:ind w:firstLine="420" w:firstLineChars="200"/>
        <w:rPr>
          <w:rFonts w:ascii="宋体" w:hAnsi="宋体" w:eastAsia="宋体"/>
          <w:color w:val="auto"/>
        </w:rPr>
      </w:pPr>
      <w:r>
        <w:rPr>
          <w:rFonts w:hint="eastAsia" w:ascii="宋体" w:hAnsi="宋体" w:eastAsia="宋体"/>
          <w:color w:val="auto"/>
        </w:rPr>
        <w:t>从事同城物流配送（3.1）活动，能够提供同城物流配送一体化服务或其中部分服务的企业。</w:t>
      </w:r>
    </w:p>
    <w:p>
      <w:pPr>
        <w:pStyle w:val="58"/>
        <w:numPr>
          <w:ilvl w:val="0"/>
          <w:numId w:val="0"/>
        </w:numPr>
        <w:spacing w:before="0" w:beforeLines="0" w:after="0" w:afterLines="0"/>
        <w:ind w:firstLine="360" w:firstLineChars="200"/>
        <w:rPr>
          <w:color w:val="auto"/>
        </w:rPr>
      </w:pPr>
      <w:r>
        <w:rPr>
          <w:rFonts w:hint="eastAsia" w:hAnsi="黑体" w:cs="黑体"/>
          <w:color w:val="auto"/>
          <w:sz w:val="18"/>
          <w:szCs w:val="18"/>
        </w:rPr>
        <w:t>注：</w:t>
      </w:r>
      <w:r>
        <w:rPr>
          <w:rFonts w:hint="eastAsia" w:ascii="宋体" w:hAnsi="宋体" w:eastAsia="宋体"/>
          <w:color w:val="auto"/>
          <w:sz w:val="18"/>
          <w:szCs w:val="18"/>
        </w:rPr>
        <w:t xml:space="preserve">包括第三方物流企业、电子商务物流企业、同城货运平台企业、即时配送平台企业等。 </w:t>
      </w:r>
      <w:r>
        <w:rPr>
          <w:rFonts w:hint="eastAsia" w:ascii="宋体" w:eastAsia="宋体"/>
          <w:color w:val="auto"/>
          <w:sz w:val="18"/>
          <w:szCs w:val="18"/>
        </w:rPr>
        <w:t xml:space="preserve"> </w:t>
      </w:r>
      <w:r>
        <w:rPr>
          <w:rFonts w:hint="eastAsia"/>
          <w:color w:val="auto"/>
          <w:szCs w:val="22"/>
        </w:rPr>
        <w:t xml:space="preserve"> </w:t>
      </w:r>
    </w:p>
    <w:p>
      <w:pPr>
        <w:pStyle w:val="67"/>
        <w:numPr>
          <w:ilvl w:val="0"/>
          <w:numId w:val="0"/>
        </w:numPr>
        <w:spacing w:line="450" w:lineRule="exact"/>
        <w:rPr>
          <w:rFonts w:ascii="黑体" w:eastAsia="黑体"/>
          <w:color w:val="auto"/>
          <w:szCs w:val="22"/>
        </w:rPr>
      </w:pPr>
      <w:r>
        <w:rPr>
          <w:rFonts w:hint="eastAsia" w:ascii="黑体" w:eastAsia="黑体"/>
          <w:color w:val="auto"/>
          <w:szCs w:val="22"/>
        </w:rPr>
        <w:t xml:space="preserve">3.3 </w:t>
      </w:r>
    </w:p>
    <w:p>
      <w:pPr>
        <w:pStyle w:val="108"/>
        <w:numPr>
          <w:ilvl w:val="0"/>
          <w:numId w:val="0"/>
        </w:numPr>
        <w:ind w:firstLine="420" w:firstLineChars="200"/>
        <w:rPr>
          <w:rFonts w:ascii="黑体" w:eastAsia="黑体"/>
          <w:color w:val="auto"/>
          <w:szCs w:val="22"/>
        </w:rPr>
      </w:pPr>
      <w:r>
        <w:rPr>
          <w:rFonts w:hint="eastAsia" w:ascii="黑体" w:eastAsia="黑体"/>
          <w:color w:val="auto"/>
          <w:szCs w:val="22"/>
        </w:rPr>
        <w:t>众包配送</w:t>
      </w:r>
      <w:r>
        <w:rPr>
          <w:rFonts w:hint="eastAsia" w:hAnsi="宋体" w:eastAsia="黑体" w:cs="宋体"/>
          <w:b/>
          <w:color w:val="auto"/>
          <w:sz w:val="24"/>
          <w:shd w:val="clear" w:color="auto" w:fill="FFFFFF"/>
          <w:lang w:bidi="ar"/>
        </w:rPr>
        <w:t xml:space="preserve"> </w:t>
      </w:r>
      <w:r>
        <w:rPr>
          <w:rFonts w:ascii="黑体" w:eastAsia="黑体"/>
          <w:color w:val="auto"/>
          <w:szCs w:val="22"/>
        </w:rPr>
        <w:t>c</w:t>
      </w:r>
      <w:r>
        <w:rPr>
          <w:rFonts w:hint="eastAsia" w:ascii="黑体" w:eastAsia="黑体"/>
          <w:color w:val="auto"/>
          <w:szCs w:val="22"/>
        </w:rPr>
        <w:t>rowd-source delivery</w:t>
      </w:r>
    </w:p>
    <w:p>
      <w:pPr>
        <w:pStyle w:val="58"/>
        <w:numPr>
          <w:ilvl w:val="0"/>
          <w:numId w:val="0"/>
        </w:numPr>
        <w:ind w:firstLine="420" w:firstLineChars="200"/>
        <w:rPr>
          <w:color w:val="auto"/>
        </w:rPr>
      </w:pPr>
      <w:r>
        <w:rPr>
          <w:rFonts w:hint="eastAsia" w:ascii="宋体" w:hAnsi="宋体" w:eastAsia="宋体"/>
          <w:color w:val="auto"/>
        </w:rPr>
        <w:t>同城物流</w:t>
      </w:r>
      <w:r>
        <w:rPr>
          <w:rFonts w:ascii="宋体" w:hAnsi="宋体" w:eastAsia="宋体"/>
          <w:color w:val="auto"/>
        </w:rPr>
        <w:t>配送服务企业</w:t>
      </w:r>
      <w:r>
        <w:rPr>
          <w:rFonts w:hint="eastAsia" w:ascii="宋体" w:hAnsi="宋体" w:eastAsia="宋体"/>
          <w:color w:val="auto"/>
        </w:rPr>
        <w:t>通过移动互联网</w:t>
      </w:r>
      <w:r>
        <w:rPr>
          <w:rFonts w:ascii="宋体" w:hAnsi="宋体" w:eastAsia="宋体"/>
          <w:color w:val="auto"/>
        </w:rPr>
        <w:t>平台</w:t>
      </w:r>
      <w:r>
        <w:rPr>
          <w:rFonts w:hint="eastAsia" w:ascii="宋体" w:hAnsi="宋体" w:eastAsia="宋体"/>
          <w:color w:val="auto"/>
        </w:rPr>
        <w:t>整合、发布配送需求</w:t>
      </w:r>
      <w:r>
        <w:rPr>
          <w:rFonts w:ascii="宋体" w:hAnsi="宋体" w:eastAsia="宋体"/>
          <w:color w:val="auto"/>
        </w:rPr>
        <w:t>信息</w:t>
      </w:r>
      <w:r>
        <w:rPr>
          <w:rFonts w:hint="eastAsia" w:ascii="宋体" w:hAnsi="宋体" w:eastAsia="宋体"/>
          <w:color w:val="auto"/>
        </w:rPr>
        <w:t>，组织</w:t>
      </w:r>
      <w:r>
        <w:rPr>
          <w:rFonts w:ascii="宋体" w:hAnsi="宋体" w:eastAsia="宋体"/>
          <w:color w:val="auto"/>
        </w:rPr>
        <w:t>社会化运力</w:t>
      </w:r>
      <w:r>
        <w:rPr>
          <w:rFonts w:hint="eastAsia" w:ascii="宋体" w:hAnsi="宋体" w:eastAsia="宋体"/>
          <w:color w:val="auto"/>
        </w:rPr>
        <w:t>以自愿</w:t>
      </w:r>
      <w:r>
        <w:rPr>
          <w:rFonts w:ascii="宋体" w:hAnsi="宋体" w:eastAsia="宋体"/>
          <w:color w:val="auto"/>
        </w:rPr>
        <w:t>、有偿的</w:t>
      </w:r>
      <w:r>
        <w:rPr>
          <w:rFonts w:hint="eastAsia" w:ascii="宋体" w:hAnsi="宋体" w:eastAsia="宋体"/>
          <w:color w:val="auto"/>
        </w:rPr>
        <w:t>方</w:t>
      </w:r>
      <w:r>
        <w:rPr>
          <w:rFonts w:ascii="宋体" w:hAnsi="宋体" w:eastAsia="宋体"/>
          <w:color w:val="auto"/>
        </w:rPr>
        <w:t>式</w:t>
      </w:r>
      <w:r>
        <w:rPr>
          <w:rFonts w:hint="eastAsia" w:ascii="宋体" w:hAnsi="宋体" w:eastAsia="宋体"/>
          <w:color w:val="auto"/>
        </w:rPr>
        <w:t>提供取、</w:t>
      </w:r>
      <w:r>
        <w:rPr>
          <w:rFonts w:ascii="宋体" w:hAnsi="宋体" w:eastAsia="宋体"/>
          <w:color w:val="auto"/>
        </w:rPr>
        <w:t>送货</w:t>
      </w:r>
      <w:r>
        <w:rPr>
          <w:rFonts w:hint="eastAsia" w:ascii="宋体" w:hAnsi="宋体" w:eastAsia="宋体"/>
          <w:color w:val="auto"/>
        </w:rPr>
        <w:t>服务</w:t>
      </w:r>
      <w:r>
        <w:rPr>
          <w:rFonts w:ascii="宋体" w:hAnsi="宋体" w:eastAsia="宋体"/>
          <w:color w:val="auto"/>
        </w:rPr>
        <w:t>，</w:t>
      </w:r>
      <w:r>
        <w:rPr>
          <w:rFonts w:hint="eastAsia" w:ascii="宋体" w:hAnsi="宋体" w:eastAsia="宋体"/>
          <w:color w:val="auto"/>
        </w:rPr>
        <w:t>并对</w:t>
      </w:r>
      <w:r>
        <w:rPr>
          <w:rFonts w:ascii="宋体" w:hAnsi="宋体" w:eastAsia="宋体"/>
          <w:color w:val="auto"/>
        </w:rPr>
        <w:t>服务</w:t>
      </w:r>
      <w:r>
        <w:rPr>
          <w:rFonts w:hint="eastAsia" w:ascii="宋体" w:hAnsi="宋体" w:eastAsia="宋体"/>
          <w:color w:val="auto"/>
        </w:rPr>
        <w:t>过程</w:t>
      </w:r>
      <w:r>
        <w:rPr>
          <w:rFonts w:ascii="宋体" w:hAnsi="宋体" w:eastAsia="宋体"/>
          <w:color w:val="auto"/>
        </w:rPr>
        <w:t>进行</w:t>
      </w:r>
      <w:r>
        <w:rPr>
          <w:rFonts w:hint="eastAsia" w:ascii="宋体" w:hAnsi="宋体" w:eastAsia="宋体"/>
          <w:color w:val="auto"/>
        </w:rPr>
        <w:t>监督</w:t>
      </w:r>
      <w:r>
        <w:rPr>
          <w:rFonts w:ascii="宋体" w:hAnsi="宋体" w:eastAsia="宋体"/>
          <w:color w:val="auto"/>
        </w:rPr>
        <w:t>管理</w:t>
      </w:r>
      <w:r>
        <w:rPr>
          <w:rFonts w:hint="eastAsia" w:ascii="宋体" w:hAnsi="宋体" w:eastAsia="宋体"/>
          <w:color w:val="auto"/>
        </w:rPr>
        <w:t>的物流活动。</w:t>
      </w:r>
    </w:p>
    <w:p>
      <w:pPr>
        <w:pStyle w:val="67"/>
        <w:numPr>
          <w:ilvl w:val="0"/>
          <w:numId w:val="0"/>
        </w:numPr>
        <w:spacing w:line="450" w:lineRule="exact"/>
        <w:rPr>
          <w:rFonts w:ascii="黑体" w:eastAsia="黑体"/>
          <w:color w:val="auto"/>
          <w:szCs w:val="22"/>
        </w:rPr>
      </w:pPr>
      <w:r>
        <w:rPr>
          <w:rFonts w:hint="eastAsia" w:ascii="黑体" w:eastAsia="黑体"/>
          <w:color w:val="auto"/>
          <w:szCs w:val="22"/>
        </w:rPr>
        <w:t xml:space="preserve">3.4 </w:t>
      </w:r>
    </w:p>
    <w:p>
      <w:pPr>
        <w:pStyle w:val="67"/>
        <w:numPr>
          <w:ilvl w:val="0"/>
          <w:numId w:val="0"/>
        </w:numPr>
        <w:spacing w:before="156" w:beforeLines="50" w:after="156" w:afterLines="50" w:line="450" w:lineRule="exact"/>
        <w:ind w:firstLine="420" w:firstLineChars="200"/>
        <w:rPr>
          <w:rFonts w:ascii="黑体" w:eastAsia="黑体"/>
          <w:color w:val="auto"/>
          <w:szCs w:val="22"/>
        </w:rPr>
      </w:pPr>
      <w:r>
        <w:rPr>
          <w:rFonts w:hint="eastAsia" w:ascii="黑体" w:eastAsia="黑体"/>
          <w:color w:val="auto"/>
          <w:szCs w:val="22"/>
        </w:rPr>
        <w:t>即时配送</w:t>
      </w:r>
      <w:r>
        <w:rPr>
          <w:rFonts w:hint="eastAsia" w:hAnsi="宋体" w:eastAsia="黑体" w:cs="宋体"/>
          <w:b/>
          <w:color w:val="auto"/>
          <w:sz w:val="24"/>
          <w:shd w:val="clear" w:color="auto" w:fill="FFFFFF"/>
          <w:lang w:bidi="ar"/>
        </w:rPr>
        <w:t xml:space="preserve"> </w:t>
      </w:r>
      <w:r>
        <w:rPr>
          <w:rFonts w:ascii="黑体" w:eastAsia="黑体"/>
          <w:color w:val="auto"/>
          <w:szCs w:val="22"/>
        </w:rPr>
        <w:t>i</w:t>
      </w:r>
      <w:r>
        <w:rPr>
          <w:rFonts w:hint="eastAsia" w:ascii="黑体" w:eastAsia="黑体"/>
          <w:color w:val="auto"/>
          <w:szCs w:val="22"/>
        </w:rPr>
        <w:t>mmediate delivery</w:t>
      </w:r>
    </w:p>
    <w:p>
      <w:pPr>
        <w:pStyle w:val="58"/>
        <w:numPr>
          <w:ilvl w:val="0"/>
          <w:numId w:val="0"/>
        </w:numPr>
        <w:spacing w:before="0" w:beforeLines="0" w:after="0" w:afterLines="0"/>
        <w:ind w:firstLine="420" w:firstLineChars="200"/>
        <w:rPr>
          <w:rFonts w:ascii="宋体" w:hAnsi="宋体" w:eastAsia="宋体"/>
          <w:color w:val="auto"/>
          <w:sz w:val="18"/>
          <w:szCs w:val="18"/>
        </w:rPr>
      </w:pPr>
      <w:r>
        <w:rPr>
          <w:rFonts w:hint="eastAsia" w:ascii="宋体" w:eastAsia="宋体"/>
          <w:color w:val="auto"/>
        </w:rPr>
        <w:t>一定区域范围内，货物不经过仓储和中转，及时直接送达收货地的物流配送活动。</w:t>
      </w:r>
    </w:p>
    <w:p>
      <w:pPr>
        <w:pStyle w:val="58"/>
        <w:numPr>
          <w:ilvl w:val="0"/>
          <w:numId w:val="0"/>
        </w:numPr>
        <w:spacing w:before="0" w:beforeLines="0" w:after="0" w:afterLines="0"/>
        <w:ind w:firstLine="360" w:firstLineChars="200"/>
        <w:rPr>
          <w:rFonts w:ascii="宋体" w:hAnsi="宋体" w:eastAsia="宋体"/>
          <w:color w:val="auto"/>
          <w:sz w:val="18"/>
          <w:szCs w:val="18"/>
        </w:rPr>
      </w:pPr>
      <w:r>
        <w:rPr>
          <w:rFonts w:hint="eastAsia" w:hAnsi="黑体" w:cs="黑体"/>
          <w:color w:val="auto"/>
          <w:sz w:val="18"/>
          <w:szCs w:val="18"/>
        </w:rPr>
        <w:t>注：</w:t>
      </w:r>
      <w:r>
        <w:rPr>
          <w:rFonts w:hint="eastAsia" w:ascii="宋体" w:hAnsi="宋体" w:eastAsia="宋体"/>
          <w:color w:val="auto"/>
          <w:sz w:val="18"/>
          <w:szCs w:val="18"/>
        </w:rPr>
        <w:t>具有响应快、时效强、定制化等特点。</w:t>
      </w:r>
    </w:p>
    <w:p>
      <w:pPr>
        <w:pStyle w:val="45"/>
        <w:spacing w:before="312" w:after="312"/>
        <w:rPr>
          <w:color w:val="auto"/>
        </w:rPr>
      </w:pPr>
      <w:bookmarkStart w:id="67" w:name="_Toc11812"/>
      <w:bookmarkStart w:id="68" w:name="_Toc23275"/>
      <w:bookmarkStart w:id="69" w:name="_Toc10738"/>
      <w:bookmarkStart w:id="70" w:name="_Toc82761253"/>
      <w:bookmarkStart w:id="71" w:name="_Toc20238"/>
      <w:bookmarkStart w:id="72" w:name="_Toc19274"/>
      <w:bookmarkStart w:id="73" w:name="_Toc21222"/>
      <w:bookmarkStart w:id="74" w:name="_Toc9205"/>
      <w:r>
        <w:rPr>
          <w:rFonts w:hint="eastAsia"/>
          <w:color w:val="auto"/>
        </w:rPr>
        <w:t>分类</w:t>
      </w:r>
      <w:bookmarkEnd w:id="67"/>
      <w:bookmarkEnd w:id="68"/>
      <w:bookmarkEnd w:id="69"/>
      <w:bookmarkEnd w:id="70"/>
      <w:bookmarkEnd w:id="71"/>
      <w:bookmarkEnd w:id="72"/>
      <w:bookmarkEnd w:id="73"/>
      <w:bookmarkEnd w:id="74"/>
    </w:p>
    <w:p>
      <w:pPr>
        <w:pStyle w:val="25"/>
        <w:spacing w:before="156" w:beforeLines="50" w:after="156" w:afterLines="50"/>
        <w:rPr>
          <w:color w:val="auto"/>
          <w:szCs w:val="21"/>
        </w:rPr>
      </w:pPr>
      <w:r>
        <w:rPr>
          <w:rFonts w:hint="eastAsia"/>
          <w:color w:val="auto"/>
          <w:szCs w:val="21"/>
        </w:rPr>
        <w:t>根据配送货物数量</w:t>
      </w:r>
      <w:r>
        <w:rPr>
          <w:color w:val="auto"/>
          <w:szCs w:val="21"/>
        </w:rPr>
        <w:t>、体积等</w:t>
      </w:r>
      <w:r>
        <w:rPr>
          <w:rFonts w:hint="eastAsia"/>
          <w:color w:val="auto"/>
          <w:szCs w:val="21"/>
        </w:rPr>
        <w:t>不同，同城物流配送服务分为以下两种类型：</w:t>
      </w:r>
    </w:p>
    <w:p>
      <w:pPr>
        <w:pStyle w:val="25"/>
        <w:numPr>
          <w:ilvl w:val="0"/>
          <w:numId w:val="18"/>
        </w:numPr>
        <w:spacing w:after="100" w:afterAutospacing="1"/>
        <w:rPr>
          <w:color w:val="auto"/>
          <w:szCs w:val="22"/>
        </w:rPr>
      </w:pPr>
      <w:r>
        <w:rPr>
          <w:rFonts w:hint="eastAsia"/>
          <w:color w:val="auto"/>
          <w:szCs w:val="22"/>
        </w:rPr>
        <w:t>以小件单件货物为主的配送服务，如本地生活配送、众包配送、即时配送等；</w:t>
      </w:r>
    </w:p>
    <w:p>
      <w:pPr>
        <w:pStyle w:val="25"/>
        <w:numPr>
          <w:ilvl w:val="0"/>
          <w:numId w:val="18"/>
        </w:numPr>
        <w:spacing w:after="100" w:afterAutospacing="1"/>
        <w:rPr>
          <w:color w:val="auto"/>
          <w:szCs w:val="22"/>
        </w:rPr>
      </w:pPr>
      <w:r>
        <w:rPr>
          <w:rFonts w:hint="eastAsia"/>
          <w:color w:val="auto"/>
          <w:szCs w:val="22"/>
        </w:rPr>
        <w:t>以大件多种货物为主的配送服务，如同城货运、商超配送等。</w:t>
      </w:r>
    </w:p>
    <w:p>
      <w:pPr>
        <w:pStyle w:val="45"/>
        <w:spacing w:before="312" w:after="312"/>
        <w:rPr>
          <w:color w:val="auto"/>
        </w:rPr>
      </w:pPr>
      <w:bookmarkStart w:id="75" w:name="_Toc19148"/>
      <w:bookmarkStart w:id="76" w:name="_Toc82761254"/>
      <w:bookmarkStart w:id="77" w:name="_Toc28195"/>
      <w:bookmarkStart w:id="78" w:name="_Toc26202"/>
      <w:bookmarkStart w:id="79" w:name="_Toc22368"/>
      <w:bookmarkStart w:id="80" w:name="_Toc27558"/>
      <w:bookmarkStart w:id="81" w:name="_Toc29948"/>
      <w:bookmarkStart w:id="82" w:name="_Toc2393"/>
      <w:r>
        <w:rPr>
          <w:rFonts w:hint="eastAsia"/>
          <w:color w:val="auto"/>
        </w:rPr>
        <w:t>总体要求</w:t>
      </w:r>
      <w:bookmarkEnd w:id="75"/>
      <w:bookmarkEnd w:id="76"/>
      <w:bookmarkEnd w:id="77"/>
      <w:bookmarkEnd w:id="78"/>
      <w:bookmarkEnd w:id="79"/>
      <w:bookmarkEnd w:id="80"/>
      <w:bookmarkEnd w:id="81"/>
      <w:bookmarkEnd w:id="82"/>
    </w:p>
    <w:p>
      <w:pPr>
        <w:pStyle w:val="44"/>
        <w:spacing w:before="156" w:after="156"/>
        <w:ind w:left="0"/>
        <w:rPr>
          <w:rFonts w:ascii="宋体" w:hAnsi="宋体" w:eastAsia="宋体"/>
          <w:color w:val="auto"/>
        </w:rPr>
      </w:pPr>
      <w:r>
        <w:rPr>
          <w:rFonts w:hint="eastAsia" w:ascii="宋体" w:hAnsi="宋体" w:eastAsia="宋体"/>
          <w:color w:val="auto"/>
        </w:rPr>
        <w:t>应具</w:t>
      </w:r>
      <w:r>
        <w:rPr>
          <w:rFonts w:hint="eastAsia" w:ascii="宋体" w:hAnsi="宋体" w:eastAsia="宋体"/>
          <w:color w:val="auto"/>
          <w:szCs w:val="22"/>
        </w:rPr>
        <w:t>备相应的</w:t>
      </w:r>
      <w:r>
        <w:rPr>
          <w:rFonts w:hint="eastAsia" w:ascii="宋体" w:hAnsi="宋体" w:eastAsia="宋体"/>
          <w:color w:val="auto"/>
        </w:rPr>
        <w:t>设施设备、信息平台、服务能力和质量安全管理制度等。</w:t>
      </w:r>
    </w:p>
    <w:p>
      <w:pPr>
        <w:pStyle w:val="44"/>
        <w:spacing w:before="156" w:after="156"/>
        <w:ind w:left="0"/>
        <w:rPr>
          <w:rFonts w:ascii="宋体" w:hAnsi="宋体" w:eastAsia="宋体"/>
          <w:color w:val="auto"/>
        </w:rPr>
      </w:pPr>
      <w:r>
        <w:rPr>
          <w:rFonts w:hint="eastAsia" w:ascii="宋体" w:hAnsi="宋体" w:eastAsia="宋体"/>
          <w:color w:val="auto"/>
        </w:rPr>
        <w:t>应履行消费者权益保护、环境保护、网络安全与个人信息保护等方面义务。</w:t>
      </w:r>
    </w:p>
    <w:p>
      <w:pPr>
        <w:pStyle w:val="44"/>
        <w:spacing w:before="156" w:after="156"/>
        <w:ind w:left="0"/>
        <w:rPr>
          <w:rFonts w:ascii="宋体" w:hAnsi="宋体" w:eastAsia="宋体"/>
          <w:color w:val="auto"/>
        </w:rPr>
      </w:pPr>
      <w:r>
        <w:rPr>
          <w:rFonts w:hint="eastAsia" w:ascii="宋体" w:hAnsi="宋体" w:eastAsia="宋体"/>
          <w:color w:val="auto"/>
        </w:rPr>
        <w:t>应建立信息管理系统和智慧物流配送体系，具备相应服务能力，确保信息的完整、安全、可追溯、可监控。</w:t>
      </w:r>
    </w:p>
    <w:p>
      <w:pPr>
        <w:pStyle w:val="44"/>
        <w:spacing w:before="156" w:after="156"/>
        <w:ind w:left="0"/>
        <w:rPr>
          <w:rFonts w:ascii="宋体" w:hAnsi="宋体" w:eastAsia="宋体"/>
          <w:color w:val="auto"/>
        </w:rPr>
      </w:pPr>
      <w:r>
        <w:rPr>
          <w:rFonts w:hint="eastAsia" w:ascii="宋体" w:hAnsi="宋体" w:eastAsia="宋体"/>
          <w:color w:val="auto"/>
        </w:rPr>
        <w:t>应秉承绿色物流理念，建立绿色环保发展机制，实现物流包装减量化和再利用，推进同城物流配送绿色发展。</w:t>
      </w:r>
    </w:p>
    <w:p>
      <w:pPr>
        <w:pStyle w:val="44"/>
        <w:spacing w:before="156" w:after="156"/>
        <w:ind w:left="0"/>
        <w:rPr>
          <w:rFonts w:ascii="宋体" w:hAnsi="宋体" w:eastAsia="宋体"/>
          <w:color w:val="auto"/>
        </w:rPr>
      </w:pPr>
      <w:r>
        <w:rPr>
          <w:rFonts w:hint="eastAsia" w:ascii="宋体" w:hAnsi="宋体" w:eastAsia="宋体"/>
          <w:color w:val="auto"/>
        </w:rPr>
        <w:t>宜充分利用分拨中心、前置仓等仓储资源，采用共同配送模式，实施集约化物流配送。</w:t>
      </w:r>
    </w:p>
    <w:p>
      <w:pPr>
        <w:pStyle w:val="45"/>
        <w:tabs>
          <w:tab w:val="center" w:pos="4201"/>
          <w:tab w:val="right" w:leader="dot" w:pos="9298"/>
        </w:tabs>
        <w:spacing w:before="312" w:after="312"/>
        <w:rPr>
          <w:color w:val="auto"/>
          <w:szCs w:val="22"/>
        </w:rPr>
      </w:pPr>
      <w:bookmarkStart w:id="83" w:name="_Toc25806"/>
      <w:bookmarkStart w:id="84" w:name="_Toc20625"/>
      <w:bookmarkStart w:id="85" w:name="_Toc29732"/>
      <w:bookmarkStart w:id="86" w:name="_Toc8612"/>
      <w:bookmarkStart w:id="87" w:name="_Toc2543"/>
      <w:bookmarkStart w:id="88" w:name="_Toc82761255"/>
      <w:bookmarkStart w:id="89" w:name="_Toc18820"/>
      <w:bookmarkStart w:id="90" w:name="_Toc21053"/>
      <w:r>
        <w:rPr>
          <w:rFonts w:hint="eastAsia"/>
          <w:color w:val="auto"/>
          <w:szCs w:val="22"/>
        </w:rPr>
        <w:t>设施设备</w:t>
      </w:r>
      <w:bookmarkEnd w:id="83"/>
      <w:bookmarkEnd w:id="84"/>
      <w:bookmarkEnd w:id="85"/>
      <w:bookmarkEnd w:id="86"/>
      <w:bookmarkEnd w:id="87"/>
      <w:bookmarkEnd w:id="88"/>
      <w:bookmarkEnd w:id="89"/>
      <w:bookmarkEnd w:id="90"/>
    </w:p>
    <w:p>
      <w:pPr>
        <w:pStyle w:val="44"/>
        <w:spacing w:before="156" w:after="156"/>
        <w:ind w:left="0"/>
        <w:rPr>
          <w:rFonts w:ascii="宋体" w:hAnsi="宋体" w:eastAsia="宋体"/>
          <w:color w:val="auto"/>
          <w:szCs w:val="22"/>
        </w:rPr>
      </w:pPr>
      <w:r>
        <w:rPr>
          <w:rFonts w:hint="eastAsia" w:ascii="宋体" w:hAnsi="宋体" w:eastAsia="宋体"/>
          <w:color w:val="auto"/>
          <w:szCs w:val="22"/>
        </w:rPr>
        <w:t>以小件单件货物为主的配送服务应配置的设施设备包括但不限于：</w:t>
      </w:r>
    </w:p>
    <w:p>
      <w:pPr>
        <w:pStyle w:val="25"/>
        <w:numPr>
          <w:ilvl w:val="0"/>
          <w:numId w:val="19"/>
        </w:numPr>
        <w:rPr>
          <w:color w:val="auto"/>
        </w:rPr>
      </w:pPr>
      <w:r>
        <w:rPr>
          <w:rFonts w:hint="eastAsia"/>
          <w:color w:val="auto"/>
        </w:rPr>
        <w:t>符合GB 17761、GB 24155、GB 18384、YZ/T 0136等要求的配送车辆；</w:t>
      </w:r>
    </w:p>
    <w:p>
      <w:pPr>
        <w:pStyle w:val="25"/>
        <w:numPr>
          <w:ilvl w:val="0"/>
          <w:numId w:val="19"/>
        </w:numPr>
        <w:rPr>
          <w:color w:val="auto"/>
        </w:rPr>
      </w:pPr>
      <w:r>
        <w:rPr>
          <w:rFonts w:hint="eastAsia"/>
          <w:color w:val="auto"/>
        </w:rPr>
        <w:t>符合GB 811要求的头盔等防护设备；</w:t>
      </w:r>
    </w:p>
    <w:p>
      <w:pPr>
        <w:pStyle w:val="25"/>
        <w:numPr>
          <w:ilvl w:val="0"/>
          <w:numId w:val="19"/>
        </w:numPr>
        <w:rPr>
          <w:color w:val="auto"/>
        </w:rPr>
      </w:pPr>
      <w:r>
        <w:rPr>
          <w:rFonts w:hint="eastAsia"/>
          <w:color w:val="auto"/>
        </w:rPr>
        <w:t>主要用于承载或保护配送货物的封装物，包括送餐箱、保温箱、包装袋等；</w:t>
      </w:r>
    </w:p>
    <w:p>
      <w:pPr>
        <w:pStyle w:val="25"/>
        <w:numPr>
          <w:ilvl w:val="0"/>
          <w:numId w:val="19"/>
        </w:numPr>
        <w:rPr>
          <w:color w:val="auto"/>
        </w:rPr>
      </w:pPr>
      <w:r>
        <w:rPr>
          <w:rFonts w:hint="eastAsia"/>
          <w:color w:val="auto"/>
        </w:rPr>
        <w:t>能获取并处理即时物流订单、配送等各种信息的智能终端设备。</w:t>
      </w:r>
    </w:p>
    <w:p>
      <w:pPr>
        <w:pStyle w:val="44"/>
        <w:spacing w:before="156" w:after="156"/>
        <w:ind w:left="0"/>
        <w:rPr>
          <w:rFonts w:ascii="宋体" w:hAnsi="宋体" w:eastAsia="宋体"/>
          <w:color w:val="auto"/>
          <w:szCs w:val="22"/>
        </w:rPr>
      </w:pPr>
      <w:r>
        <w:rPr>
          <w:rFonts w:hint="eastAsia" w:ascii="宋体" w:hAnsi="宋体" w:eastAsia="宋体"/>
          <w:color w:val="auto"/>
          <w:szCs w:val="22"/>
        </w:rPr>
        <w:t>以大件多种货物为主的配送服务应配置的设施设备包括但不限于：</w:t>
      </w:r>
    </w:p>
    <w:p>
      <w:pPr>
        <w:pStyle w:val="25"/>
        <w:numPr>
          <w:ilvl w:val="0"/>
          <w:numId w:val="20"/>
        </w:numPr>
        <w:rPr>
          <w:color w:val="auto"/>
        </w:rPr>
      </w:pPr>
      <w:r>
        <w:rPr>
          <w:rFonts w:hint="eastAsia"/>
          <w:color w:val="auto"/>
        </w:rPr>
        <w:t>符合GB 7258、GB 18384、GB/T 29912等要求的配送车辆；</w:t>
      </w:r>
    </w:p>
    <w:p>
      <w:pPr>
        <w:pStyle w:val="25"/>
        <w:numPr>
          <w:ilvl w:val="0"/>
          <w:numId w:val="20"/>
        </w:numPr>
        <w:rPr>
          <w:color w:val="auto"/>
        </w:rPr>
      </w:pPr>
      <w:r>
        <w:rPr>
          <w:rFonts w:hint="eastAsia"/>
          <w:color w:val="auto"/>
        </w:rPr>
        <w:t>标准化的托盘、转运箱、包装箱和叉车、手推车等包装搬运设备；</w:t>
      </w:r>
    </w:p>
    <w:p>
      <w:pPr>
        <w:pStyle w:val="25"/>
        <w:numPr>
          <w:ilvl w:val="0"/>
          <w:numId w:val="20"/>
        </w:numPr>
        <w:rPr>
          <w:color w:val="auto"/>
        </w:rPr>
      </w:pPr>
      <w:r>
        <w:rPr>
          <w:rFonts w:hint="eastAsia"/>
          <w:color w:val="auto"/>
        </w:rPr>
        <w:t>手持物流配送智能终端和POS机等终端设备；</w:t>
      </w:r>
    </w:p>
    <w:p>
      <w:pPr>
        <w:pStyle w:val="25"/>
        <w:numPr>
          <w:ilvl w:val="0"/>
          <w:numId w:val="20"/>
        </w:numPr>
        <w:rPr>
          <w:color w:val="auto"/>
        </w:rPr>
      </w:pPr>
      <w:r>
        <w:rPr>
          <w:rFonts w:hint="eastAsia"/>
          <w:color w:val="auto"/>
        </w:rPr>
        <w:t>安检、监控、分拣等设备。</w:t>
      </w:r>
    </w:p>
    <w:p>
      <w:pPr>
        <w:pStyle w:val="45"/>
        <w:spacing w:before="312" w:after="312"/>
        <w:rPr>
          <w:color w:val="auto"/>
        </w:rPr>
      </w:pPr>
      <w:bookmarkStart w:id="91" w:name="_Toc82761256"/>
      <w:bookmarkStart w:id="92" w:name="_Toc18802"/>
      <w:bookmarkStart w:id="93" w:name="_Toc28911"/>
      <w:bookmarkStart w:id="94" w:name="_Toc15397"/>
      <w:bookmarkStart w:id="95" w:name="_Toc10795"/>
      <w:bookmarkStart w:id="96" w:name="_Toc9249"/>
      <w:bookmarkStart w:id="97" w:name="_Toc25400"/>
      <w:bookmarkStart w:id="98" w:name="_Toc4864"/>
      <w:r>
        <w:rPr>
          <w:rFonts w:hint="eastAsia"/>
          <w:color w:val="auto"/>
        </w:rPr>
        <w:t>信息平台</w:t>
      </w:r>
      <w:bookmarkEnd w:id="91"/>
      <w:bookmarkEnd w:id="92"/>
      <w:bookmarkEnd w:id="93"/>
      <w:bookmarkEnd w:id="94"/>
      <w:bookmarkEnd w:id="95"/>
      <w:bookmarkEnd w:id="96"/>
      <w:bookmarkEnd w:id="97"/>
      <w:bookmarkEnd w:id="98"/>
    </w:p>
    <w:p>
      <w:pPr>
        <w:pStyle w:val="44"/>
        <w:spacing w:before="156" w:after="156"/>
        <w:ind w:left="0"/>
        <w:rPr>
          <w:rFonts w:ascii="宋体" w:hAnsi="宋体" w:eastAsia="宋体"/>
          <w:color w:val="auto"/>
          <w:szCs w:val="22"/>
        </w:rPr>
      </w:pPr>
      <w:r>
        <w:rPr>
          <w:rFonts w:hint="eastAsia" w:ascii="宋体" w:hAnsi="宋体" w:eastAsia="宋体"/>
          <w:color w:val="auto"/>
          <w:szCs w:val="22"/>
        </w:rPr>
        <w:t>应能够实现互联互通，数据交换系统应符合GB/T 26772的规定。</w:t>
      </w:r>
      <w:bookmarkStart w:id="131" w:name="_GoBack"/>
      <w:bookmarkEnd w:id="131"/>
    </w:p>
    <w:p>
      <w:pPr>
        <w:pStyle w:val="44"/>
        <w:spacing w:before="156" w:after="156"/>
        <w:ind w:left="0"/>
        <w:rPr>
          <w:rFonts w:ascii="宋体" w:hAnsi="宋体" w:eastAsia="宋体"/>
          <w:color w:val="auto"/>
          <w:szCs w:val="22"/>
        </w:rPr>
      </w:pPr>
      <w:r>
        <w:rPr>
          <w:rFonts w:hint="eastAsia" w:ascii="宋体" w:hAnsi="宋体" w:eastAsia="宋体"/>
          <w:color w:val="auto"/>
          <w:szCs w:val="22"/>
        </w:rPr>
        <w:t>收集和使用用户信息应符合GB/T 35273的规定，物流配送信息应及时更新、保存、备查，电子档案保存期限应不少于2年。</w:t>
      </w:r>
    </w:p>
    <w:p>
      <w:pPr>
        <w:pStyle w:val="44"/>
        <w:spacing w:before="156" w:after="156"/>
        <w:ind w:left="0"/>
        <w:rPr>
          <w:rFonts w:ascii="宋体" w:hAnsi="宋体" w:eastAsia="宋体"/>
          <w:color w:val="auto"/>
          <w:szCs w:val="22"/>
        </w:rPr>
      </w:pPr>
      <w:r>
        <w:rPr>
          <w:rFonts w:hint="eastAsia" w:ascii="宋体" w:hAnsi="宋体" w:eastAsia="宋体"/>
          <w:color w:val="auto"/>
          <w:szCs w:val="22"/>
        </w:rPr>
        <w:t>应具有保护用户隐私的功能，对用户的手机号码进行隐私号转换，在订单完成后隐藏相关订单信息。</w:t>
      </w:r>
    </w:p>
    <w:p>
      <w:pPr>
        <w:pStyle w:val="44"/>
        <w:spacing w:before="156" w:after="156"/>
        <w:ind w:left="0"/>
        <w:rPr>
          <w:rFonts w:ascii="宋体" w:hAnsi="宋体" w:eastAsia="宋体"/>
          <w:color w:val="auto"/>
          <w:szCs w:val="22"/>
        </w:rPr>
      </w:pPr>
      <w:r>
        <w:rPr>
          <w:rFonts w:hint="eastAsia" w:ascii="宋体" w:hAnsi="宋体" w:eastAsia="宋体"/>
          <w:color w:val="auto"/>
          <w:szCs w:val="22"/>
        </w:rPr>
        <w:t>应制定网络安全应急预案，确保在发生网络安全事件时立即启动应急预案，信息安全等级保护应符合GB/T 22263.7-2010、GB/T 22239-2008第8章的规定。</w:t>
      </w:r>
    </w:p>
    <w:p>
      <w:pPr>
        <w:pStyle w:val="44"/>
        <w:spacing w:before="156" w:after="156"/>
        <w:ind w:left="0"/>
        <w:rPr>
          <w:rFonts w:ascii="宋体" w:hAnsi="宋体" w:eastAsia="宋体"/>
          <w:color w:val="auto"/>
          <w:szCs w:val="22"/>
        </w:rPr>
      </w:pPr>
      <w:r>
        <w:rPr>
          <w:rFonts w:hint="eastAsia" w:ascii="宋体" w:hAnsi="宋体" w:eastAsia="宋体"/>
          <w:color w:val="auto"/>
          <w:szCs w:val="22"/>
        </w:rPr>
        <w:t>应加强算法管理，为配送服务人员预留配送时间冗余，保护劳动者合法权益，建立算法问责、评估和监督机制。</w:t>
      </w:r>
    </w:p>
    <w:p>
      <w:pPr>
        <w:pStyle w:val="44"/>
        <w:spacing w:before="156" w:after="156"/>
        <w:ind w:left="0"/>
        <w:rPr>
          <w:rFonts w:ascii="宋体" w:hAnsi="宋体" w:eastAsia="宋体"/>
          <w:color w:val="auto"/>
          <w:szCs w:val="22"/>
        </w:rPr>
      </w:pPr>
      <w:r>
        <w:rPr>
          <w:rFonts w:hint="eastAsia" w:ascii="宋体" w:hAnsi="宋体" w:eastAsia="宋体"/>
          <w:color w:val="auto"/>
          <w:szCs w:val="22"/>
        </w:rPr>
        <w:t>功能与基本要求应符合SB/T 11132-2015中5.3.1的规定。</w:t>
      </w:r>
    </w:p>
    <w:p>
      <w:pPr>
        <w:pStyle w:val="45"/>
        <w:spacing w:before="312" w:after="312"/>
        <w:rPr>
          <w:color w:val="auto"/>
          <w:szCs w:val="22"/>
        </w:rPr>
      </w:pPr>
      <w:bookmarkStart w:id="99" w:name="_Toc4647"/>
      <w:bookmarkStart w:id="100" w:name="_Toc13634"/>
      <w:bookmarkStart w:id="101" w:name="_Toc184738580"/>
      <w:bookmarkStart w:id="102" w:name="_Toc82761258"/>
      <w:bookmarkStart w:id="103" w:name="_Toc388887002"/>
      <w:bookmarkStart w:id="104" w:name="_Toc19141"/>
      <w:bookmarkStart w:id="105" w:name="_Toc364432261"/>
      <w:r>
        <w:rPr>
          <w:rFonts w:hint="eastAsia"/>
          <w:color w:val="auto"/>
          <w:szCs w:val="22"/>
          <w:lang w:eastAsia="zh-CN"/>
        </w:rPr>
        <w:t>作业流程</w:t>
      </w:r>
      <w:bookmarkEnd w:id="99"/>
    </w:p>
    <w:p>
      <w:pPr>
        <w:pStyle w:val="44"/>
        <w:spacing w:before="156" w:after="156"/>
        <w:ind w:left="0"/>
        <w:rPr>
          <w:rFonts w:hAnsi="黑体" w:cs="黑体"/>
          <w:color w:val="auto"/>
          <w:szCs w:val="22"/>
        </w:rPr>
      </w:pPr>
      <w:r>
        <w:rPr>
          <w:rFonts w:hint="eastAsia" w:hAnsi="黑体" w:cs="黑体"/>
          <w:color w:val="auto"/>
          <w:szCs w:val="22"/>
        </w:rPr>
        <w:t>以小件单件货物为主的配送服务</w:t>
      </w:r>
    </w:p>
    <w:p>
      <w:pPr>
        <w:widowControl/>
        <w:shd w:val="clear" w:color="auto" w:fill="FFFFFF"/>
        <w:spacing w:before="156" w:beforeLines="50" w:after="156" w:afterLines="50"/>
        <w:jc w:val="left"/>
        <w:rPr>
          <w:rFonts w:ascii="黑体" w:eastAsia="黑体"/>
          <w:color w:val="auto"/>
          <w:kern w:val="0"/>
          <w:szCs w:val="22"/>
        </w:rPr>
      </w:pPr>
      <w:r>
        <w:rPr>
          <w:rFonts w:hint="eastAsia" w:ascii="黑体" w:eastAsia="黑体"/>
          <w:color w:val="auto"/>
          <w:kern w:val="0"/>
          <w:szCs w:val="22"/>
        </w:rPr>
        <w:t>8.1.1 收货</w:t>
      </w:r>
    </w:p>
    <w:p>
      <w:pPr>
        <w:ind w:firstLine="420" w:firstLineChars="200"/>
        <w:rPr>
          <w:color w:val="auto"/>
        </w:rPr>
      </w:pPr>
      <w:r>
        <w:rPr>
          <w:rFonts w:hint="eastAsia"/>
          <w:color w:val="auto"/>
        </w:rPr>
        <w:t>收货应满足如下要求：</w:t>
      </w:r>
    </w:p>
    <w:p>
      <w:pPr>
        <w:pStyle w:val="25"/>
        <w:numPr>
          <w:ilvl w:val="0"/>
          <w:numId w:val="21"/>
        </w:numPr>
        <w:rPr>
          <w:color w:val="auto"/>
          <w:szCs w:val="22"/>
        </w:rPr>
      </w:pPr>
      <w:r>
        <w:rPr>
          <w:rFonts w:hint="eastAsia"/>
          <w:color w:val="auto"/>
          <w:szCs w:val="22"/>
        </w:rPr>
        <w:t>配送人员按照约定时间到达指定地点；</w:t>
      </w:r>
    </w:p>
    <w:p>
      <w:pPr>
        <w:pStyle w:val="25"/>
        <w:numPr>
          <w:ilvl w:val="0"/>
          <w:numId w:val="21"/>
        </w:numPr>
        <w:rPr>
          <w:color w:val="auto"/>
          <w:szCs w:val="22"/>
        </w:rPr>
      </w:pPr>
      <w:r>
        <w:rPr>
          <w:rFonts w:hint="eastAsia"/>
          <w:color w:val="auto"/>
          <w:szCs w:val="22"/>
        </w:rPr>
        <w:t>验视发件人身份信息后收取货物，确保货物与订单信息一致，不接收违反国家相关法律法规的货物。</w:t>
      </w:r>
    </w:p>
    <w:p>
      <w:pPr>
        <w:widowControl/>
        <w:shd w:val="clear" w:color="auto" w:fill="FFFFFF"/>
        <w:spacing w:before="156" w:beforeLines="50" w:after="156" w:afterLines="50"/>
        <w:jc w:val="left"/>
        <w:rPr>
          <w:rFonts w:ascii="黑体" w:eastAsia="黑体"/>
          <w:color w:val="auto"/>
          <w:kern w:val="0"/>
          <w:szCs w:val="22"/>
        </w:rPr>
      </w:pPr>
      <w:r>
        <w:rPr>
          <w:rFonts w:hint="eastAsia" w:ascii="黑体" w:eastAsia="黑体"/>
          <w:color w:val="auto"/>
          <w:kern w:val="0"/>
          <w:szCs w:val="22"/>
        </w:rPr>
        <w:t>8.1.2 送达</w:t>
      </w:r>
    </w:p>
    <w:p>
      <w:pPr>
        <w:pStyle w:val="25"/>
        <w:ind w:firstLine="0" w:firstLineChars="0"/>
        <w:rPr>
          <w:rFonts w:hAnsi="宋体"/>
          <w:color w:val="auto"/>
          <w:kern w:val="2"/>
          <w:szCs w:val="21"/>
        </w:rPr>
      </w:pPr>
      <w:r>
        <w:rPr>
          <w:rFonts w:hint="eastAsia" w:ascii="黑体" w:hAnsi="黑体" w:eastAsia="黑体" w:cs="黑体"/>
          <w:color w:val="auto"/>
        </w:rPr>
        <w:t>8.1.2.1</w:t>
      </w:r>
      <w:r>
        <w:rPr>
          <w:rFonts w:hint="eastAsia"/>
          <w:color w:val="auto"/>
        </w:rPr>
        <w:t xml:space="preserve"> 送达方式主要包括按名址面交、自提、协商投递等，应符合</w:t>
      </w:r>
      <w:r>
        <w:rPr>
          <w:rFonts w:hint="eastAsia" w:hAnsi="宋体"/>
          <w:color w:val="auto"/>
          <w:kern w:val="2"/>
          <w:szCs w:val="21"/>
        </w:rPr>
        <w:t>SB/T 1113</w:t>
      </w:r>
      <w:r>
        <w:rPr>
          <w:rFonts w:hint="eastAsia"/>
          <w:color w:val="auto"/>
          <w:szCs w:val="22"/>
        </w:rPr>
        <w:t>2-2015中6.4的要求。</w:t>
      </w:r>
    </w:p>
    <w:p>
      <w:pPr>
        <w:pStyle w:val="25"/>
        <w:ind w:firstLine="0" w:firstLineChars="0"/>
        <w:rPr>
          <w:color w:val="auto"/>
        </w:rPr>
      </w:pPr>
      <w:r>
        <w:rPr>
          <w:rFonts w:hint="eastAsia" w:ascii="黑体" w:hAnsi="黑体" w:eastAsia="黑体" w:cs="黑体"/>
          <w:color w:val="auto"/>
        </w:rPr>
        <w:t>8.1.2.2</w:t>
      </w:r>
      <w:r>
        <w:rPr>
          <w:rFonts w:hint="eastAsia"/>
          <w:color w:val="auto"/>
        </w:rPr>
        <w:t xml:space="preserve"> 应根据约定时间、地点将货物送达，完</w:t>
      </w:r>
      <w:r>
        <w:rPr>
          <w:rFonts w:hint="eastAsia" w:hAnsi="Times New Roman"/>
          <w:color w:val="auto"/>
        </w:rPr>
        <w:t>成交接</w:t>
      </w:r>
      <w:r>
        <w:rPr>
          <w:rFonts w:hint="eastAsia"/>
          <w:color w:val="auto"/>
        </w:rPr>
        <w:t>手续，并在信息系统中留存相关数据。</w:t>
      </w:r>
    </w:p>
    <w:p>
      <w:pPr>
        <w:pStyle w:val="25"/>
        <w:ind w:firstLine="0" w:firstLineChars="0"/>
        <w:rPr>
          <w:color w:val="auto"/>
          <w:szCs w:val="22"/>
        </w:rPr>
      </w:pPr>
      <w:r>
        <w:rPr>
          <w:rFonts w:hint="eastAsia" w:ascii="黑体" w:hAnsi="黑体" w:eastAsia="黑体" w:cs="黑体"/>
          <w:color w:val="auto"/>
        </w:rPr>
        <w:t xml:space="preserve">8.1.2.3 </w:t>
      </w:r>
      <w:r>
        <w:rPr>
          <w:rFonts w:hint="eastAsia"/>
          <w:color w:val="auto"/>
          <w:szCs w:val="22"/>
        </w:rPr>
        <w:t>不同餐饮、生鲜货物的配送，应根据保温要求使用恒温、保</w:t>
      </w:r>
      <w:r>
        <w:rPr>
          <w:rFonts w:hint="eastAsia" w:hAnsi="Times New Roman"/>
          <w:color w:val="auto"/>
        </w:rPr>
        <w:t>温或保鲜</w:t>
      </w:r>
      <w:r>
        <w:rPr>
          <w:rFonts w:hint="eastAsia"/>
          <w:color w:val="auto"/>
          <w:szCs w:val="22"/>
        </w:rPr>
        <w:t>等配送箱盒，确保配送箱盒干净整洁。</w:t>
      </w:r>
    </w:p>
    <w:p>
      <w:pPr>
        <w:pStyle w:val="44"/>
        <w:spacing w:before="156" w:after="156"/>
        <w:ind w:left="0"/>
        <w:rPr>
          <w:rFonts w:hAnsi="黑体" w:cs="黑体"/>
          <w:color w:val="auto"/>
          <w:szCs w:val="22"/>
        </w:rPr>
      </w:pPr>
      <w:r>
        <w:rPr>
          <w:rFonts w:hint="eastAsia" w:hAnsi="黑体" w:cs="黑体"/>
          <w:color w:val="auto"/>
          <w:szCs w:val="22"/>
        </w:rPr>
        <w:t>以大件多种货物为主的配送服务</w:t>
      </w:r>
    </w:p>
    <w:p>
      <w:pPr>
        <w:pStyle w:val="115"/>
        <w:spacing w:before="156" w:after="156"/>
        <w:rPr>
          <w:color w:val="auto"/>
        </w:rPr>
      </w:pPr>
      <w:r>
        <w:rPr>
          <w:rFonts w:hint="eastAsia"/>
          <w:color w:val="auto"/>
          <w:szCs w:val="22"/>
        </w:rPr>
        <w:t>收货</w:t>
      </w:r>
    </w:p>
    <w:p>
      <w:pPr>
        <w:ind w:firstLine="420" w:firstLineChars="200"/>
        <w:rPr>
          <w:color w:val="auto"/>
        </w:rPr>
      </w:pPr>
      <w:r>
        <w:rPr>
          <w:rFonts w:hint="eastAsia"/>
          <w:color w:val="auto"/>
        </w:rPr>
        <w:t>应参照</w:t>
      </w:r>
      <w:r>
        <w:rPr>
          <w:rFonts w:hint="eastAsia" w:ascii="宋体" w:hAnsi="宋体" w:cs="宋体"/>
          <w:color w:val="auto"/>
        </w:rPr>
        <w:t>8.1.1</w:t>
      </w:r>
      <w:r>
        <w:rPr>
          <w:rFonts w:hint="eastAsia"/>
          <w:color w:val="auto"/>
        </w:rPr>
        <w:t>的要求收货。</w:t>
      </w:r>
    </w:p>
    <w:p>
      <w:pPr>
        <w:pStyle w:val="115"/>
        <w:spacing w:before="156" w:after="156"/>
        <w:rPr>
          <w:color w:val="auto"/>
        </w:rPr>
      </w:pPr>
      <w:r>
        <w:rPr>
          <w:rFonts w:hint="eastAsia"/>
          <w:color w:val="auto"/>
        </w:rPr>
        <w:t>入库</w:t>
      </w:r>
    </w:p>
    <w:p>
      <w:pPr>
        <w:ind w:firstLine="420" w:firstLineChars="200"/>
        <w:rPr>
          <w:color w:val="auto"/>
        </w:rPr>
      </w:pPr>
      <w:r>
        <w:rPr>
          <w:rFonts w:hint="eastAsia"/>
          <w:color w:val="auto"/>
        </w:rPr>
        <w:t>入库应符合下列要求：</w:t>
      </w:r>
    </w:p>
    <w:p>
      <w:pPr>
        <w:pStyle w:val="25"/>
        <w:numPr>
          <w:ilvl w:val="0"/>
          <w:numId w:val="22"/>
        </w:numPr>
        <w:rPr>
          <w:color w:val="auto"/>
          <w:szCs w:val="22"/>
        </w:rPr>
      </w:pPr>
      <w:r>
        <w:rPr>
          <w:rFonts w:hint="eastAsia"/>
          <w:color w:val="auto"/>
          <w:szCs w:val="22"/>
        </w:rPr>
        <w:t>入库前，根据入库通知单的要求，准备库位、人员、设备及作业凭证等；</w:t>
      </w:r>
    </w:p>
    <w:p>
      <w:pPr>
        <w:pStyle w:val="25"/>
        <w:numPr>
          <w:ilvl w:val="0"/>
          <w:numId w:val="22"/>
        </w:numPr>
        <w:rPr>
          <w:color w:val="auto"/>
          <w:szCs w:val="22"/>
        </w:rPr>
      </w:pPr>
      <w:r>
        <w:rPr>
          <w:rFonts w:hint="eastAsia"/>
          <w:color w:val="auto"/>
          <w:szCs w:val="22"/>
        </w:rPr>
        <w:t>入库时，依据送货单和入库通知单进行货单核对、货物分类、货物验收和信息采集；</w:t>
      </w:r>
    </w:p>
    <w:p>
      <w:pPr>
        <w:pStyle w:val="25"/>
        <w:numPr>
          <w:ilvl w:val="0"/>
          <w:numId w:val="22"/>
        </w:numPr>
        <w:rPr>
          <w:color w:val="auto"/>
          <w:szCs w:val="22"/>
        </w:rPr>
      </w:pPr>
      <w:r>
        <w:rPr>
          <w:rFonts w:hint="eastAsia"/>
          <w:color w:val="auto"/>
          <w:szCs w:val="22"/>
        </w:rPr>
        <w:t>入库后，按照库房要求进行库存管理。</w:t>
      </w:r>
    </w:p>
    <w:p>
      <w:pPr>
        <w:pStyle w:val="115"/>
        <w:spacing w:before="156" w:after="156"/>
        <w:rPr>
          <w:color w:val="auto"/>
        </w:rPr>
      </w:pPr>
      <w:r>
        <w:rPr>
          <w:rFonts w:hint="eastAsia"/>
          <w:color w:val="auto"/>
        </w:rPr>
        <w:t>出库</w:t>
      </w:r>
    </w:p>
    <w:p>
      <w:pPr>
        <w:pStyle w:val="25"/>
        <w:ind w:firstLine="0" w:firstLineChars="0"/>
        <w:rPr>
          <w:color w:val="auto"/>
          <w:szCs w:val="22"/>
        </w:rPr>
      </w:pPr>
      <w:r>
        <w:rPr>
          <w:rFonts w:hint="eastAsia" w:ascii="黑体" w:hAnsi="黑体" w:eastAsia="黑体" w:cs="黑体"/>
          <w:color w:val="auto"/>
          <w:szCs w:val="24"/>
        </w:rPr>
        <w:t>8.2.3.1</w:t>
      </w:r>
      <w:r>
        <w:rPr>
          <w:rFonts w:hint="eastAsia"/>
          <w:color w:val="auto"/>
          <w:szCs w:val="24"/>
        </w:rPr>
        <w:t xml:space="preserve"> </w:t>
      </w:r>
      <w:r>
        <w:rPr>
          <w:rFonts w:hint="eastAsia"/>
          <w:color w:val="auto"/>
          <w:szCs w:val="22"/>
        </w:rPr>
        <w:t>应及时拣货，宜采用适合业务需求的自动分拣系统、智能终端，提高工作效率和准确性。</w:t>
      </w:r>
    </w:p>
    <w:p>
      <w:pPr>
        <w:pStyle w:val="25"/>
        <w:ind w:firstLine="0" w:firstLineChars="0"/>
        <w:rPr>
          <w:rFonts w:hAnsi="Times New Roman"/>
          <w:color w:val="auto"/>
          <w:szCs w:val="22"/>
        </w:rPr>
      </w:pPr>
      <w:r>
        <w:rPr>
          <w:rFonts w:hint="eastAsia" w:ascii="黑体" w:hAnsi="黑体" w:eastAsia="黑体" w:cs="黑体"/>
          <w:color w:val="auto"/>
          <w:szCs w:val="24"/>
        </w:rPr>
        <w:t>8.2.3.2</w:t>
      </w:r>
      <w:r>
        <w:rPr>
          <w:rFonts w:hint="eastAsia"/>
          <w:color w:val="auto"/>
          <w:szCs w:val="24"/>
        </w:rPr>
        <w:t xml:space="preserve"> </w:t>
      </w:r>
      <w:r>
        <w:rPr>
          <w:rFonts w:hint="eastAsia" w:hAnsi="Times New Roman"/>
          <w:color w:val="auto"/>
          <w:szCs w:val="22"/>
        </w:rPr>
        <w:t>应进行验货，宜采用智能验货系统，通过扫描编码标识判定货物信息与订单信息、装箱信息等是否相符。</w:t>
      </w:r>
    </w:p>
    <w:p>
      <w:pPr>
        <w:pStyle w:val="25"/>
        <w:ind w:firstLine="0" w:firstLineChars="0"/>
        <w:rPr>
          <w:rFonts w:hAnsi="宋体" w:cs="宋体"/>
          <w:color w:val="auto"/>
          <w:szCs w:val="22"/>
        </w:rPr>
      </w:pPr>
      <w:r>
        <w:rPr>
          <w:rFonts w:ascii="黑体" w:hAnsi="黑体" w:eastAsia="黑体" w:cs="黑体"/>
          <w:color w:val="auto"/>
          <w:szCs w:val="24"/>
        </w:rPr>
        <w:t>8.2.3.3</w:t>
      </w:r>
      <w:r>
        <w:rPr>
          <w:rFonts w:hint="eastAsia" w:hAnsi="宋体" w:cs="宋体"/>
          <w:color w:val="auto"/>
          <w:szCs w:val="22"/>
        </w:rPr>
        <w:t xml:space="preserve"> 应使用1200mm×1000mm标准托盘和600mm×400mm基础模数的包装，宜采用</w:t>
      </w:r>
      <w:r>
        <w:rPr>
          <w:rFonts w:hAnsi="宋体" w:cs="宋体"/>
          <w:color w:val="auto"/>
          <w:szCs w:val="22"/>
        </w:rPr>
        <w:t>标准化的</w:t>
      </w:r>
      <w:r>
        <w:rPr>
          <w:rFonts w:hint="eastAsia" w:hAnsi="宋体" w:cs="宋体"/>
          <w:color w:val="auto"/>
          <w:szCs w:val="22"/>
        </w:rPr>
        <w:t>包装箱、托盘、周转箱及配送车辆等上下游设施设备及单元化物流装载器具。</w:t>
      </w:r>
    </w:p>
    <w:p>
      <w:pPr>
        <w:pStyle w:val="25"/>
        <w:ind w:firstLine="0" w:firstLineChars="0"/>
        <w:rPr>
          <w:color w:val="auto"/>
          <w:szCs w:val="22"/>
        </w:rPr>
      </w:pPr>
      <w:r>
        <w:rPr>
          <w:rFonts w:hint="eastAsia" w:ascii="黑体" w:hAnsi="黑体" w:eastAsia="黑体" w:cs="黑体"/>
          <w:color w:val="auto"/>
          <w:szCs w:val="24"/>
        </w:rPr>
        <w:t>8.2.3.4</w:t>
      </w:r>
      <w:r>
        <w:rPr>
          <w:rFonts w:hint="eastAsia"/>
          <w:color w:val="auto"/>
          <w:szCs w:val="24"/>
        </w:rPr>
        <w:t xml:space="preserve"> </w:t>
      </w:r>
      <w:r>
        <w:rPr>
          <w:rFonts w:hint="eastAsia" w:hAnsi="宋体" w:cs="宋体"/>
          <w:color w:val="auto"/>
          <w:szCs w:val="22"/>
        </w:rPr>
        <w:t>应对易损货物采取保护性措施。使用刚性包装时，应在包装容器内填充支撑物或衬垫物，减少</w:t>
      </w:r>
      <w:r>
        <w:rPr>
          <w:rFonts w:hint="eastAsia"/>
          <w:color w:val="auto"/>
          <w:szCs w:val="22"/>
        </w:rPr>
        <w:t>货物</w:t>
      </w:r>
      <w:r>
        <w:rPr>
          <w:rFonts w:hint="eastAsia" w:hAnsi="宋体" w:cs="宋体"/>
          <w:color w:val="auto"/>
          <w:szCs w:val="22"/>
        </w:rPr>
        <w:t>震荡和碰撞，</w:t>
      </w:r>
      <w:r>
        <w:rPr>
          <w:rFonts w:hint="eastAsia"/>
          <w:color w:val="auto"/>
          <w:szCs w:val="22"/>
        </w:rPr>
        <w:t>避免在装卸、运输和储存过程中损毁。</w:t>
      </w:r>
    </w:p>
    <w:p>
      <w:pPr>
        <w:pStyle w:val="25"/>
        <w:ind w:firstLine="0" w:firstLineChars="0"/>
        <w:rPr>
          <w:color w:val="auto"/>
          <w:szCs w:val="22"/>
        </w:rPr>
      </w:pPr>
      <w:r>
        <w:rPr>
          <w:rFonts w:hint="eastAsia" w:ascii="黑体" w:hAnsi="黑体" w:eastAsia="黑体" w:cs="黑体"/>
          <w:color w:val="auto"/>
          <w:szCs w:val="24"/>
        </w:rPr>
        <w:t>8.2.3.5</w:t>
      </w:r>
      <w:r>
        <w:rPr>
          <w:rFonts w:hint="eastAsia"/>
          <w:color w:val="auto"/>
          <w:szCs w:val="24"/>
        </w:rPr>
        <w:t xml:space="preserve"> </w:t>
      </w:r>
      <w:r>
        <w:rPr>
          <w:rFonts w:hint="eastAsia"/>
          <w:color w:val="auto"/>
          <w:szCs w:val="22"/>
        </w:rPr>
        <w:t>应上传相关信息到信息平台仓储管理系统，同时将纸质或电子介质交接单据存档；发运交接区域应装配监控设备，进行</w:t>
      </w:r>
      <w:r>
        <w:rPr>
          <w:color w:val="auto"/>
          <w:szCs w:val="22"/>
        </w:rPr>
        <w:t>实时监控</w:t>
      </w:r>
      <w:r>
        <w:rPr>
          <w:rFonts w:hint="eastAsia"/>
          <w:color w:val="auto"/>
          <w:szCs w:val="22"/>
        </w:rPr>
        <w:t>。</w:t>
      </w:r>
    </w:p>
    <w:p>
      <w:pPr>
        <w:pStyle w:val="115"/>
        <w:spacing w:before="156" w:after="156"/>
        <w:rPr>
          <w:color w:val="auto"/>
          <w:szCs w:val="22"/>
        </w:rPr>
      </w:pPr>
      <w:bookmarkStart w:id="106" w:name="_Toc18584"/>
      <w:r>
        <w:rPr>
          <w:rFonts w:hint="eastAsia"/>
          <w:color w:val="auto"/>
          <w:szCs w:val="22"/>
        </w:rPr>
        <w:t>运输</w:t>
      </w:r>
      <w:bookmarkEnd w:id="106"/>
    </w:p>
    <w:p>
      <w:pPr>
        <w:ind w:firstLine="420" w:firstLineChars="200"/>
        <w:rPr>
          <w:color w:val="auto"/>
        </w:rPr>
      </w:pPr>
      <w:r>
        <w:rPr>
          <w:rFonts w:hint="eastAsia"/>
          <w:color w:val="auto"/>
        </w:rPr>
        <w:t>运输应符合下列要求：</w:t>
      </w:r>
    </w:p>
    <w:p>
      <w:pPr>
        <w:pStyle w:val="25"/>
        <w:numPr>
          <w:ilvl w:val="0"/>
          <w:numId w:val="23"/>
        </w:numPr>
        <w:rPr>
          <w:color w:val="auto"/>
          <w:szCs w:val="22"/>
        </w:rPr>
      </w:pPr>
      <w:r>
        <w:rPr>
          <w:rFonts w:hint="eastAsia"/>
          <w:color w:val="auto"/>
          <w:szCs w:val="22"/>
        </w:rPr>
        <w:t xml:space="preserve">按包装标识要求进行装卸操作，防止货物损毁； </w:t>
      </w:r>
    </w:p>
    <w:p>
      <w:pPr>
        <w:pStyle w:val="25"/>
        <w:numPr>
          <w:ilvl w:val="0"/>
          <w:numId w:val="23"/>
        </w:numPr>
        <w:rPr>
          <w:color w:val="auto"/>
          <w:szCs w:val="22"/>
        </w:rPr>
      </w:pPr>
      <w:r>
        <w:rPr>
          <w:rFonts w:hint="eastAsia"/>
          <w:color w:val="auto"/>
          <w:szCs w:val="22"/>
        </w:rPr>
        <w:t>合理设置签收流程，确认收货信息，并在系统中留存相关数据；</w:t>
      </w:r>
    </w:p>
    <w:p>
      <w:pPr>
        <w:pStyle w:val="25"/>
        <w:numPr>
          <w:ilvl w:val="0"/>
          <w:numId w:val="23"/>
        </w:numPr>
        <w:rPr>
          <w:color w:val="auto"/>
          <w:szCs w:val="22"/>
        </w:rPr>
      </w:pPr>
      <w:r>
        <w:rPr>
          <w:rFonts w:hint="eastAsia"/>
          <w:color w:val="auto"/>
          <w:szCs w:val="22"/>
        </w:rPr>
        <w:t>根据约定时间、地点将货物送达，核实收件人身份，核对货物品类和数量，完成交接手续，及时准确填制运输与配送凭证，相关交接单据、凭证应保存备查。</w:t>
      </w:r>
    </w:p>
    <w:p>
      <w:pPr>
        <w:pStyle w:val="115"/>
        <w:spacing w:before="156" w:after="156"/>
        <w:rPr>
          <w:color w:val="auto"/>
          <w:szCs w:val="22"/>
        </w:rPr>
      </w:pPr>
      <w:r>
        <w:rPr>
          <w:rFonts w:hint="eastAsia"/>
          <w:color w:val="auto"/>
          <w:szCs w:val="22"/>
        </w:rPr>
        <w:t>送达</w:t>
      </w:r>
    </w:p>
    <w:p>
      <w:pPr>
        <w:ind w:firstLine="420" w:firstLineChars="200"/>
        <w:rPr>
          <w:color w:val="auto"/>
        </w:rPr>
      </w:pPr>
      <w:r>
        <w:rPr>
          <w:rFonts w:hint="eastAsia"/>
          <w:color w:val="auto"/>
        </w:rPr>
        <w:t>应参照</w:t>
      </w:r>
      <w:r>
        <w:rPr>
          <w:rFonts w:hint="eastAsia" w:ascii="宋体" w:hAnsi="宋体" w:cs="宋体"/>
          <w:color w:val="auto"/>
        </w:rPr>
        <w:t>8.1.2.1和8.1.2.2</w:t>
      </w:r>
      <w:r>
        <w:rPr>
          <w:rFonts w:hint="eastAsia"/>
          <w:color w:val="auto"/>
        </w:rPr>
        <w:t>的要求将货物送达。</w:t>
      </w:r>
    </w:p>
    <w:p>
      <w:pPr>
        <w:pStyle w:val="44"/>
        <w:spacing w:before="156" w:after="156"/>
        <w:ind w:left="0"/>
        <w:rPr>
          <w:rFonts w:hAnsi="黑体" w:cs="黑体"/>
          <w:color w:val="auto"/>
          <w:szCs w:val="22"/>
        </w:rPr>
      </w:pPr>
      <w:r>
        <w:rPr>
          <w:rFonts w:hint="eastAsia" w:hAnsi="黑体" w:cs="黑体"/>
          <w:color w:val="auto"/>
          <w:szCs w:val="22"/>
        </w:rPr>
        <w:t>异常情况处理</w:t>
      </w:r>
    </w:p>
    <w:p>
      <w:pPr>
        <w:ind w:firstLine="420" w:firstLineChars="200"/>
        <w:rPr>
          <w:color w:val="auto"/>
        </w:rPr>
      </w:pPr>
      <w:r>
        <w:rPr>
          <w:rFonts w:hint="eastAsia"/>
          <w:color w:val="auto"/>
        </w:rPr>
        <w:t>出现如下异常情况时，应及时处理：</w:t>
      </w:r>
    </w:p>
    <w:p>
      <w:pPr>
        <w:pStyle w:val="25"/>
        <w:numPr>
          <w:ilvl w:val="0"/>
          <w:numId w:val="24"/>
        </w:numPr>
        <w:rPr>
          <w:color w:val="auto"/>
          <w:szCs w:val="22"/>
        </w:rPr>
      </w:pPr>
      <w:r>
        <w:rPr>
          <w:rFonts w:hint="eastAsia"/>
          <w:color w:val="auto"/>
          <w:szCs w:val="22"/>
        </w:rPr>
        <w:t>对无法送达的，主动联</w:t>
      </w:r>
      <w:r>
        <w:rPr>
          <w:rFonts w:hint="eastAsia" w:ascii="Times New Roman"/>
          <w:color w:val="auto"/>
          <w:kern w:val="2"/>
          <w:szCs w:val="24"/>
        </w:rPr>
        <w:t>系发件人</w:t>
      </w:r>
      <w:r>
        <w:rPr>
          <w:rFonts w:hint="eastAsia"/>
          <w:color w:val="auto"/>
          <w:szCs w:val="22"/>
        </w:rPr>
        <w:t>，协商处理；</w:t>
      </w:r>
    </w:p>
    <w:p>
      <w:pPr>
        <w:pStyle w:val="25"/>
        <w:numPr>
          <w:ilvl w:val="0"/>
          <w:numId w:val="24"/>
        </w:numPr>
        <w:rPr>
          <w:color w:val="auto"/>
          <w:szCs w:val="22"/>
        </w:rPr>
      </w:pPr>
      <w:r>
        <w:rPr>
          <w:rFonts w:hint="eastAsia"/>
          <w:color w:val="auto"/>
          <w:szCs w:val="22"/>
        </w:rPr>
        <w:t>联系不</w:t>
      </w:r>
      <w:r>
        <w:rPr>
          <w:rFonts w:hint="eastAsia" w:ascii="Times New Roman"/>
          <w:color w:val="auto"/>
          <w:kern w:val="2"/>
          <w:szCs w:val="24"/>
        </w:rPr>
        <w:t>到收件人或收件人拒</w:t>
      </w:r>
      <w:r>
        <w:rPr>
          <w:rFonts w:hint="eastAsia"/>
          <w:color w:val="auto"/>
          <w:szCs w:val="22"/>
        </w:rPr>
        <w:t>收的，退回或按合同约定处理；</w:t>
      </w:r>
    </w:p>
    <w:p>
      <w:pPr>
        <w:pStyle w:val="25"/>
        <w:numPr>
          <w:ilvl w:val="0"/>
          <w:numId w:val="24"/>
        </w:numPr>
        <w:rPr>
          <w:rFonts w:hAnsi="宋体" w:cs="宋体"/>
          <w:color w:val="auto"/>
          <w:szCs w:val="22"/>
        </w:rPr>
      </w:pPr>
      <w:r>
        <w:rPr>
          <w:rFonts w:hint="eastAsia"/>
          <w:color w:val="auto"/>
          <w:szCs w:val="22"/>
        </w:rPr>
        <w:t>出现换货但无法联系</w:t>
      </w:r>
      <w:r>
        <w:rPr>
          <w:rFonts w:hint="eastAsia" w:ascii="Times New Roman"/>
          <w:color w:val="auto"/>
          <w:kern w:val="2"/>
          <w:szCs w:val="24"/>
        </w:rPr>
        <w:t>收件人、换货收件人不</w:t>
      </w:r>
      <w:r>
        <w:rPr>
          <w:rFonts w:hint="eastAsia"/>
          <w:color w:val="auto"/>
          <w:szCs w:val="22"/>
        </w:rPr>
        <w:t>提供退</w:t>
      </w:r>
      <w:r>
        <w:rPr>
          <w:rFonts w:hint="eastAsia" w:hAnsi="Times New Roman"/>
          <w:color w:val="auto"/>
          <w:szCs w:val="22"/>
        </w:rPr>
        <w:t>换货物、退换货物不</w:t>
      </w:r>
      <w:r>
        <w:rPr>
          <w:rFonts w:hint="eastAsia"/>
          <w:color w:val="auto"/>
          <w:szCs w:val="22"/>
        </w:rPr>
        <w:t>符合验收要求的，及时告知</w:t>
      </w:r>
      <w:r>
        <w:rPr>
          <w:rFonts w:hint="eastAsia" w:ascii="Times New Roman"/>
          <w:color w:val="auto"/>
          <w:kern w:val="2"/>
          <w:szCs w:val="24"/>
        </w:rPr>
        <w:t>发件人或信息平台，由发件人与收件人</w:t>
      </w:r>
      <w:r>
        <w:rPr>
          <w:rFonts w:hint="eastAsia"/>
          <w:color w:val="auto"/>
          <w:szCs w:val="22"/>
        </w:rPr>
        <w:t>沟通确认后再上门收取退换货物。</w:t>
      </w:r>
    </w:p>
    <w:p>
      <w:pPr>
        <w:pStyle w:val="45"/>
        <w:numPr>
          <w:ilvl w:val="0"/>
          <w:numId w:val="0"/>
        </w:numPr>
        <w:spacing w:before="312" w:after="312"/>
        <w:rPr>
          <w:color w:val="auto"/>
          <w:szCs w:val="22"/>
        </w:rPr>
      </w:pPr>
      <w:bookmarkStart w:id="107" w:name="_Toc29192"/>
      <w:bookmarkStart w:id="108" w:name="_Toc12711"/>
      <w:bookmarkStart w:id="109" w:name="_Toc23771"/>
      <w:bookmarkStart w:id="110" w:name="_Toc11067"/>
      <w:r>
        <w:rPr>
          <w:rFonts w:hint="eastAsia"/>
          <w:color w:val="auto"/>
          <w:szCs w:val="22"/>
        </w:rPr>
        <w:t>9  风险与防范</w:t>
      </w:r>
      <w:bookmarkEnd w:id="107"/>
      <w:bookmarkEnd w:id="108"/>
      <w:bookmarkEnd w:id="109"/>
      <w:bookmarkEnd w:id="110"/>
    </w:p>
    <w:p>
      <w:pPr>
        <w:pStyle w:val="44"/>
        <w:numPr>
          <w:ilvl w:val="0"/>
          <w:numId w:val="0"/>
        </w:numPr>
        <w:spacing w:before="156" w:after="156"/>
        <w:rPr>
          <w:rFonts w:ascii="宋体" w:hAnsi="宋体" w:eastAsia="宋体"/>
          <w:color w:val="auto"/>
          <w:szCs w:val="22"/>
        </w:rPr>
      </w:pPr>
      <w:bookmarkStart w:id="111" w:name="_Toc14588"/>
      <w:r>
        <w:rPr>
          <w:rFonts w:hint="eastAsia"/>
          <w:color w:val="auto"/>
          <w:szCs w:val="22"/>
        </w:rPr>
        <w:t xml:space="preserve">9.1 </w:t>
      </w:r>
      <w:r>
        <w:rPr>
          <w:rFonts w:hint="eastAsia" w:asciiTheme="minorEastAsia" w:hAnsiTheme="minorEastAsia" w:eastAsiaTheme="minorEastAsia" w:cstheme="minorEastAsia"/>
          <w:color w:val="auto"/>
          <w:szCs w:val="22"/>
        </w:rPr>
        <w:t>应对配送过程中的潜在风险进行识别、分析和管控，并依据风险类型制定相应的应急预案。</w:t>
      </w:r>
      <w:bookmarkEnd w:id="111"/>
      <w:bookmarkStart w:id="112" w:name="_Toc6239"/>
      <w:r>
        <w:rPr>
          <w:rFonts w:hint="eastAsia" w:asciiTheme="minorEastAsia" w:hAnsiTheme="minorEastAsia" w:eastAsiaTheme="minorEastAsia" w:cstheme="minorEastAsia"/>
          <w:color w:val="auto"/>
          <w:szCs w:val="22"/>
        </w:rPr>
        <w:t>风险发生时，应立即启动应急预案，有效控制风险。</w:t>
      </w:r>
      <w:bookmarkEnd w:id="112"/>
    </w:p>
    <w:p>
      <w:pPr>
        <w:pStyle w:val="45"/>
        <w:numPr>
          <w:ilvl w:val="0"/>
          <w:numId w:val="0"/>
        </w:numPr>
        <w:spacing w:before="156" w:beforeLines="50" w:after="156" w:afterLines="50"/>
        <w:rPr>
          <w:rFonts w:ascii="宋体" w:eastAsia="宋体"/>
          <w:color w:val="auto"/>
          <w:szCs w:val="22"/>
        </w:rPr>
      </w:pPr>
      <w:bookmarkStart w:id="113" w:name="_Toc24356"/>
      <w:bookmarkStart w:id="114" w:name="_Toc19396"/>
      <w:bookmarkStart w:id="115" w:name="_Toc2021"/>
      <w:bookmarkStart w:id="116" w:name="_Toc22744"/>
      <w:r>
        <w:rPr>
          <w:rFonts w:hint="eastAsia"/>
          <w:color w:val="auto"/>
          <w:szCs w:val="22"/>
        </w:rPr>
        <w:t xml:space="preserve">9.2 </w:t>
      </w:r>
      <w:r>
        <w:rPr>
          <w:rFonts w:hint="eastAsia" w:ascii="宋体" w:eastAsia="宋体"/>
          <w:color w:val="auto"/>
          <w:szCs w:val="22"/>
        </w:rPr>
        <w:t>货物在运输途中发生盗抢、交通事故等，应立即向公安机关、保险机构等报案并做好备案登记。发生货物破损、超时投递等情况时，应向</w:t>
      </w:r>
      <w:r>
        <w:rPr>
          <w:rFonts w:hint="eastAsia" w:ascii="宋体" w:hAnsi="宋体" w:eastAsia="宋体"/>
          <w:color w:val="auto"/>
          <w:szCs w:val="22"/>
        </w:rPr>
        <w:t>发件人和收件人说明</w:t>
      </w:r>
      <w:r>
        <w:rPr>
          <w:rFonts w:ascii="宋体" w:hAnsi="宋体" w:eastAsia="宋体"/>
          <w:color w:val="auto"/>
          <w:szCs w:val="22"/>
        </w:rPr>
        <w:t>并</w:t>
      </w:r>
      <w:r>
        <w:rPr>
          <w:rFonts w:hint="eastAsia" w:ascii="宋体" w:hAnsi="宋体" w:eastAsia="宋体"/>
          <w:color w:val="auto"/>
          <w:szCs w:val="22"/>
        </w:rPr>
        <w:t>妥善</w:t>
      </w:r>
      <w:r>
        <w:rPr>
          <w:rFonts w:ascii="宋体" w:hAnsi="宋体" w:eastAsia="宋体"/>
          <w:color w:val="auto"/>
          <w:szCs w:val="22"/>
        </w:rPr>
        <w:t>处理</w:t>
      </w:r>
      <w:r>
        <w:rPr>
          <w:rFonts w:hint="eastAsia" w:ascii="宋体" w:eastAsia="宋体"/>
          <w:color w:val="auto"/>
          <w:szCs w:val="22"/>
        </w:rPr>
        <w:t>。</w:t>
      </w:r>
      <w:bookmarkEnd w:id="113"/>
      <w:bookmarkEnd w:id="114"/>
      <w:bookmarkEnd w:id="115"/>
      <w:bookmarkEnd w:id="116"/>
    </w:p>
    <w:p>
      <w:pPr>
        <w:pStyle w:val="57"/>
        <w:spacing w:before="156" w:after="156"/>
        <w:ind w:left="0"/>
        <w:rPr>
          <w:rFonts w:ascii="Times New Roman" w:eastAsia="宋体"/>
          <w:color w:val="auto"/>
          <w:kern w:val="2"/>
          <w:szCs w:val="24"/>
        </w:rPr>
      </w:pPr>
      <w:r>
        <w:rPr>
          <w:rFonts w:hint="eastAsia"/>
          <w:color w:val="auto"/>
          <w:szCs w:val="22"/>
        </w:rPr>
        <w:t>9.3</w:t>
      </w:r>
      <w:r>
        <w:rPr>
          <w:rFonts w:hint="eastAsia" w:ascii="Times New Roman" w:eastAsia="宋体"/>
          <w:color w:val="auto"/>
          <w:kern w:val="2"/>
          <w:szCs w:val="24"/>
        </w:rPr>
        <w:t xml:space="preserve"> 应利用信息化手段，实施物流追溯管理和监测，控制配送过程中的风险，保证质量安全。</w:t>
      </w:r>
    </w:p>
    <w:p>
      <w:pPr>
        <w:spacing w:before="156" w:beforeLines="50" w:after="156" w:afterLines="50"/>
        <w:rPr>
          <w:color w:val="auto"/>
        </w:rPr>
      </w:pPr>
      <w:r>
        <w:rPr>
          <w:rFonts w:hint="eastAsia" w:ascii="黑体" w:eastAsia="黑体"/>
          <w:color w:val="auto"/>
          <w:kern w:val="0"/>
          <w:szCs w:val="22"/>
        </w:rPr>
        <w:t xml:space="preserve">9.4 </w:t>
      </w:r>
      <w:r>
        <w:rPr>
          <w:rFonts w:hint="eastAsia" w:ascii="宋体" w:hAnsi="宋体" w:cs="宋体"/>
          <w:color w:val="auto"/>
          <w:kern w:val="0"/>
          <w:szCs w:val="22"/>
        </w:rPr>
        <w:t>应及时纠正和处理疲劳驾驶、未按照规定线路行驶等行为，监控数据应至少保存3个月，违法驾驶信息及处理情况应至少保存2年。</w:t>
      </w:r>
    </w:p>
    <w:p>
      <w:pPr>
        <w:pStyle w:val="45"/>
        <w:numPr>
          <w:ilvl w:val="0"/>
          <w:numId w:val="0"/>
        </w:numPr>
        <w:spacing w:before="312" w:after="312"/>
        <w:rPr>
          <w:color w:val="auto"/>
        </w:rPr>
      </w:pPr>
      <w:bookmarkStart w:id="117" w:name="_Toc15164"/>
      <w:bookmarkStart w:id="118" w:name="_Toc5294"/>
      <w:bookmarkStart w:id="119" w:name="_Toc26800"/>
      <w:r>
        <w:rPr>
          <w:rFonts w:hint="eastAsia"/>
          <w:color w:val="auto"/>
          <w:szCs w:val="22"/>
        </w:rPr>
        <w:t>10  投诉</w:t>
      </w:r>
      <w:bookmarkEnd w:id="117"/>
      <w:r>
        <w:rPr>
          <w:rFonts w:hint="eastAsia"/>
          <w:color w:val="auto"/>
          <w:szCs w:val="22"/>
        </w:rPr>
        <w:t>处理</w:t>
      </w:r>
      <w:bookmarkEnd w:id="118"/>
      <w:bookmarkEnd w:id="119"/>
    </w:p>
    <w:p>
      <w:pPr>
        <w:pStyle w:val="44"/>
        <w:numPr>
          <w:ilvl w:val="0"/>
          <w:numId w:val="0"/>
        </w:numPr>
        <w:spacing w:before="156" w:after="156"/>
        <w:rPr>
          <w:rFonts w:hAnsi="黑体" w:cs="黑体"/>
          <w:color w:val="auto"/>
          <w:szCs w:val="22"/>
        </w:rPr>
      </w:pPr>
      <w:r>
        <w:rPr>
          <w:rFonts w:hint="eastAsia" w:hAnsi="黑体" w:cs="黑体"/>
          <w:color w:val="auto"/>
          <w:szCs w:val="22"/>
        </w:rPr>
        <w:t>10.1 受理</w:t>
      </w:r>
    </w:p>
    <w:p>
      <w:pPr>
        <w:rPr>
          <w:color w:val="auto"/>
          <w:szCs w:val="22"/>
        </w:rPr>
      </w:pPr>
      <w:r>
        <w:rPr>
          <w:rFonts w:hint="eastAsia" w:ascii="黑体" w:hAnsi="黑体" w:eastAsia="黑体" w:cs="黑体"/>
          <w:color w:val="auto"/>
        </w:rPr>
        <w:t xml:space="preserve">10.1.1 </w:t>
      </w:r>
      <w:r>
        <w:rPr>
          <w:rFonts w:hint="eastAsia"/>
          <w:color w:val="auto"/>
        </w:rPr>
        <w:t>应提供便捷、有效的投诉渠道，包括但不限于电话、微信、邮箱、信函等，在24小时内答复用户是否受理</w:t>
      </w:r>
      <w:r>
        <w:rPr>
          <w:rFonts w:hint="eastAsia"/>
          <w:color w:val="auto"/>
          <w:szCs w:val="22"/>
        </w:rPr>
        <w:t>。</w:t>
      </w:r>
    </w:p>
    <w:p>
      <w:pPr>
        <w:rPr>
          <w:color w:val="auto"/>
        </w:rPr>
      </w:pPr>
      <w:r>
        <w:rPr>
          <w:rFonts w:hint="eastAsia" w:ascii="黑体" w:hAnsi="黑体" w:eastAsia="黑体" w:cs="黑体"/>
          <w:color w:val="auto"/>
        </w:rPr>
        <w:t xml:space="preserve">10.1.2 </w:t>
      </w:r>
      <w:r>
        <w:rPr>
          <w:rFonts w:hint="eastAsia"/>
          <w:color w:val="auto"/>
        </w:rPr>
        <w:t>投诉受理应准确记录如下信息：</w:t>
      </w:r>
    </w:p>
    <w:p>
      <w:pPr>
        <w:pStyle w:val="25"/>
        <w:numPr>
          <w:ilvl w:val="0"/>
          <w:numId w:val="25"/>
        </w:numPr>
        <w:rPr>
          <w:color w:val="auto"/>
          <w:szCs w:val="22"/>
        </w:rPr>
      </w:pPr>
      <w:r>
        <w:rPr>
          <w:rFonts w:hint="eastAsia"/>
          <w:color w:val="auto"/>
          <w:szCs w:val="22"/>
        </w:rPr>
        <w:t>投诉人的姓名、地址和联系方式；</w:t>
      </w:r>
    </w:p>
    <w:p>
      <w:pPr>
        <w:pStyle w:val="25"/>
        <w:numPr>
          <w:ilvl w:val="0"/>
          <w:numId w:val="25"/>
        </w:numPr>
        <w:rPr>
          <w:color w:val="auto"/>
          <w:szCs w:val="22"/>
        </w:rPr>
      </w:pPr>
      <w:r>
        <w:rPr>
          <w:rFonts w:hint="eastAsia"/>
          <w:color w:val="auto"/>
          <w:szCs w:val="22"/>
        </w:rPr>
        <w:t>投诉的理由、目的、诉求；</w:t>
      </w:r>
    </w:p>
    <w:p>
      <w:pPr>
        <w:pStyle w:val="25"/>
        <w:numPr>
          <w:ilvl w:val="0"/>
          <w:numId w:val="25"/>
        </w:numPr>
        <w:rPr>
          <w:color w:val="auto"/>
          <w:szCs w:val="22"/>
        </w:rPr>
      </w:pPr>
      <w:r>
        <w:rPr>
          <w:rFonts w:hint="eastAsia"/>
          <w:color w:val="auto"/>
          <w:szCs w:val="22"/>
        </w:rPr>
        <w:t>其他相关信息，例如运单号或订单号等。</w:t>
      </w:r>
    </w:p>
    <w:p>
      <w:pPr>
        <w:pStyle w:val="44"/>
        <w:numPr>
          <w:ilvl w:val="0"/>
          <w:numId w:val="0"/>
        </w:numPr>
        <w:spacing w:before="156" w:after="156"/>
        <w:rPr>
          <w:rFonts w:hAnsi="黑体" w:cs="黑体"/>
          <w:color w:val="auto"/>
          <w:szCs w:val="22"/>
        </w:rPr>
      </w:pPr>
      <w:r>
        <w:rPr>
          <w:rFonts w:hint="eastAsia" w:hAnsi="黑体" w:cs="黑体"/>
          <w:color w:val="auto"/>
          <w:szCs w:val="22"/>
        </w:rPr>
        <w:t>10.2 处理</w:t>
      </w:r>
    </w:p>
    <w:p>
      <w:pPr>
        <w:rPr>
          <w:color w:val="auto"/>
        </w:rPr>
      </w:pPr>
      <w:r>
        <w:rPr>
          <w:rFonts w:hint="eastAsia" w:ascii="黑体" w:hAnsi="黑体" w:eastAsia="黑体" w:cs="黑体"/>
          <w:color w:val="auto"/>
        </w:rPr>
        <w:t>10.2.1</w:t>
      </w:r>
      <w:r>
        <w:rPr>
          <w:rFonts w:hint="eastAsia"/>
          <w:color w:val="auto"/>
        </w:rPr>
        <w:t xml:space="preserve"> 应对投诉信息进行分析，按服务承诺及时处理，维护消费者合法权益。</w:t>
      </w:r>
    </w:p>
    <w:p>
      <w:pPr>
        <w:rPr>
          <w:color w:val="auto"/>
        </w:rPr>
      </w:pPr>
      <w:r>
        <w:rPr>
          <w:rFonts w:hint="eastAsia" w:ascii="黑体" w:hAnsi="黑体" w:eastAsia="黑体" w:cs="黑体"/>
          <w:color w:val="auto"/>
        </w:rPr>
        <w:t xml:space="preserve">10.2.2 </w:t>
      </w:r>
      <w:r>
        <w:rPr>
          <w:rFonts w:hint="eastAsia"/>
          <w:color w:val="auto"/>
        </w:rPr>
        <w:t>投诉处理完毕，应及时告知投诉人处理结果。若投诉人对处理结果不满意，应告知其他可用的处理方式，如组织调解、提请仲裁或提起诉讼等。</w:t>
      </w:r>
    </w:p>
    <w:p>
      <w:pPr>
        <w:rPr>
          <w:color w:val="auto"/>
        </w:rPr>
      </w:pPr>
      <w:r>
        <w:rPr>
          <w:rFonts w:hint="eastAsia" w:ascii="黑体" w:hAnsi="黑体" w:eastAsia="黑体" w:cs="黑体"/>
          <w:color w:val="auto"/>
        </w:rPr>
        <w:t>10.2.3</w:t>
      </w:r>
      <w:r>
        <w:rPr>
          <w:rFonts w:hint="eastAsia"/>
          <w:color w:val="auto"/>
        </w:rPr>
        <w:t xml:space="preserve"> 投诉处理应30个工作日内办结。</w:t>
      </w:r>
    </w:p>
    <w:p>
      <w:pPr>
        <w:pStyle w:val="45"/>
        <w:numPr>
          <w:ilvl w:val="0"/>
          <w:numId w:val="0"/>
        </w:numPr>
        <w:spacing w:before="312" w:after="312"/>
        <w:rPr>
          <w:color w:val="auto"/>
          <w:szCs w:val="22"/>
        </w:rPr>
      </w:pPr>
      <w:bookmarkStart w:id="120" w:name="_Toc21555"/>
      <w:bookmarkStart w:id="121" w:name="_Toc29984"/>
      <w:bookmarkStart w:id="122" w:name="_Toc20016"/>
      <w:r>
        <w:rPr>
          <w:rFonts w:hint="eastAsia"/>
          <w:color w:val="auto"/>
          <w:szCs w:val="22"/>
        </w:rPr>
        <w:t>11  评价指标</w:t>
      </w:r>
      <w:bookmarkEnd w:id="120"/>
      <w:bookmarkEnd w:id="121"/>
      <w:bookmarkEnd w:id="122"/>
    </w:p>
    <w:p>
      <w:pPr>
        <w:pStyle w:val="44"/>
        <w:numPr>
          <w:ilvl w:val="0"/>
          <w:numId w:val="0"/>
        </w:numPr>
        <w:spacing w:before="156" w:after="156"/>
        <w:rPr>
          <w:rFonts w:ascii="Times New Roman" w:eastAsia="宋体"/>
          <w:color w:val="auto"/>
          <w:kern w:val="2"/>
          <w:szCs w:val="24"/>
        </w:rPr>
      </w:pPr>
      <w:r>
        <w:rPr>
          <w:rFonts w:hint="eastAsia" w:hAnsi="黑体" w:cs="黑体"/>
          <w:color w:val="auto"/>
          <w:kern w:val="2"/>
          <w:szCs w:val="24"/>
        </w:rPr>
        <w:t xml:space="preserve">11.1 </w:t>
      </w:r>
      <w:r>
        <w:rPr>
          <w:rFonts w:hint="eastAsia" w:ascii="Times New Roman" w:eastAsia="宋体"/>
          <w:color w:val="auto"/>
          <w:kern w:val="2"/>
          <w:szCs w:val="24"/>
        </w:rPr>
        <w:t>同城物流配送服务评价应以提升质量、提高效率、增加满意度为原则。</w:t>
      </w:r>
    </w:p>
    <w:p>
      <w:pPr>
        <w:pStyle w:val="57"/>
        <w:spacing w:beforeLines="0" w:afterLines="0"/>
        <w:ind w:left="0"/>
        <w:rPr>
          <w:rFonts w:ascii="Times New Roman" w:eastAsia="宋体"/>
          <w:color w:val="auto"/>
          <w:kern w:val="2"/>
          <w:szCs w:val="24"/>
        </w:rPr>
      </w:pPr>
      <w:r>
        <w:rPr>
          <w:rFonts w:hint="eastAsia" w:hAnsi="黑体" w:cs="黑体"/>
          <w:color w:val="auto"/>
          <w:kern w:val="2"/>
          <w:szCs w:val="24"/>
        </w:rPr>
        <w:t xml:space="preserve">11.2 </w:t>
      </w:r>
      <w:r>
        <w:rPr>
          <w:rFonts w:hint="eastAsia" w:ascii="Times New Roman" w:eastAsia="宋体"/>
          <w:color w:val="auto"/>
          <w:kern w:val="2"/>
          <w:szCs w:val="24"/>
        </w:rPr>
        <w:t>同城物流配送服务评价指标应包括但不限于</w:t>
      </w:r>
      <w:r>
        <w:rPr>
          <w:rFonts w:hint="eastAsia" w:ascii="宋体" w:eastAsia="宋体"/>
          <w:color w:val="auto"/>
          <w:szCs w:val="20"/>
        </w:rPr>
        <w:t>配送</w:t>
      </w:r>
      <w:r>
        <w:rPr>
          <w:rFonts w:hint="eastAsia" w:ascii="Times New Roman" w:eastAsia="宋体"/>
          <w:color w:val="auto"/>
          <w:kern w:val="2"/>
          <w:szCs w:val="24"/>
        </w:rPr>
        <w:t>及时率、配送准确率、订单完成率、遗失破损率、有效投诉率、投诉处理及时率、客户满意度等，详见表</w:t>
      </w:r>
      <w:r>
        <w:rPr>
          <w:rFonts w:hint="eastAsia" w:ascii="宋体" w:hAnsi="宋体" w:eastAsia="宋体" w:cs="宋体"/>
          <w:color w:val="auto"/>
          <w:kern w:val="2"/>
          <w:szCs w:val="24"/>
        </w:rPr>
        <w:t>1</w:t>
      </w:r>
      <w:r>
        <w:rPr>
          <w:rFonts w:hint="eastAsia" w:ascii="Times New Roman" w:eastAsia="宋体"/>
          <w:color w:val="auto"/>
          <w:kern w:val="2"/>
          <w:szCs w:val="24"/>
        </w:rPr>
        <w:t>。</w:t>
      </w:r>
    </w:p>
    <w:p>
      <w:pPr>
        <w:pStyle w:val="46"/>
        <w:spacing w:before="156" w:beforeLines="50" w:after="156" w:afterLines="50"/>
        <w:ind w:firstLine="0" w:firstLineChars="0"/>
        <w:jc w:val="center"/>
        <w:rPr>
          <w:rFonts w:ascii="黑体" w:hAnsi="黑体" w:eastAsia="黑体" w:cs="黑体"/>
          <w:color w:val="auto"/>
          <w:kern w:val="2"/>
          <w:szCs w:val="24"/>
        </w:rPr>
      </w:pPr>
      <w:r>
        <w:rPr>
          <w:rFonts w:hint="eastAsia" w:ascii="黑体" w:hAnsi="黑体" w:eastAsia="黑体" w:cs="黑体"/>
          <w:color w:val="auto"/>
          <w:kern w:val="2"/>
          <w:szCs w:val="24"/>
        </w:rPr>
        <w:t>表1  同城物流配送服务评价指标</w:t>
      </w:r>
    </w:p>
    <w:tbl>
      <w:tblPr>
        <w:tblStyle w:val="4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561"/>
        <w:gridCol w:w="2322"/>
        <w:gridCol w:w="3615"/>
        <w:gridCol w:w="885"/>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54" w:hRule="atLeast"/>
        </w:trPr>
        <w:tc>
          <w:tcPr>
            <w:tcW w:w="1561" w:type="dxa"/>
            <w:vAlign w:val="center"/>
          </w:tcPr>
          <w:p>
            <w:pPr>
              <w:pStyle w:val="46"/>
              <w:ind w:firstLine="0" w:firstLineChars="0"/>
              <w:jc w:val="center"/>
              <w:rPr>
                <w:color w:val="auto"/>
                <w:szCs w:val="18"/>
              </w:rPr>
            </w:pPr>
            <w:r>
              <w:rPr>
                <w:rFonts w:hint="eastAsia" w:ascii="Times New Roman"/>
                <w:color w:val="auto"/>
                <w:sz w:val="18"/>
                <w:szCs w:val="18"/>
              </w:rPr>
              <w:t>评价指标</w:t>
            </w:r>
          </w:p>
        </w:tc>
        <w:tc>
          <w:tcPr>
            <w:tcW w:w="2322" w:type="dxa"/>
            <w:vAlign w:val="center"/>
          </w:tcPr>
          <w:p>
            <w:pPr>
              <w:pStyle w:val="46"/>
              <w:ind w:firstLine="0" w:firstLineChars="0"/>
              <w:jc w:val="center"/>
              <w:rPr>
                <w:color w:val="auto"/>
                <w:szCs w:val="18"/>
              </w:rPr>
            </w:pPr>
            <w:r>
              <w:rPr>
                <w:rFonts w:hint="eastAsia" w:ascii="Times New Roman"/>
                <w:color w:val="auto"/>
                <w:sz w:val="18"/>
                <w:szCs w:val="18"/>
              </w:rPr>
              <w:t>定义</w:t>
            </w:r>
          </w:p>
        </w:tc>
        <w:tc>
          <w:tcPr>
            <w:tcW w:w="3615" w:type="dxa"/>
            <w:vAlign w:val="center"/>
          </w:tcPr>
          <w:p>
            <w:pPr>
              <w:pStyle w:val="46"/>
              <w:ind w:firstLine="0" w:firstLineChars="0"/>
              <w:jc w:val="center"/>
              <w:rPr>
                <w:rFonts w:ascii="黑体" w:hAnsi="黑体" w:eastAsia="黑体" w:cs="黑体"/>
                <w:color w:val="auto"/>
              </w:rPr>
            </w:pPr>
            <w:r>
              <w:rPr>
                <w:rFonts w:hint="eastAsia" w:ascii="Times New Roman"/>
                <w:color w:val="auto"/>
                <w:sz w:val="18"/>
                <w:szCs w:val="18"/>
              </w:rPr>
              <w:t>公式</w:t>
            </w:r>
          </w:p>
        </w:tc>
        <w:tc>
          <w:tcPr>
            <w:tcW w:w="885" w:type="dxa"/>
            <w:vAlign w:val="center"/>
          </w:tcPr>
          <w:p>
            <w:pPr>
              <w:pStyle w:val="46"/>
              <w:ind w:firstLine="0" w:firstLineChars="0"/>
              <w:jc w:val="center"/>
              <w:rPr>
                <w:color w:val="auto"/>
                <w:szCs w:val="18"/>
              </w:rPr>
            </w:pPr>
            <w:r>
              <w:rPr>
                <w:rFonts w:hint="eastAsia" w:ascii="Times New Roman"/>
                <w:color w:val="auto"/>
                <w:sz w:val="18"/>
                <w:szCs w:val="18"/>
              </w:rPr>
              <w:t>推荐值</w:t>
            </w:r>
          </w:p>
        </w:tc>
        <w:tc>
          <w:tcPr>
            <w:tcW w:w="1187" w:type="dxa"/>
            <w:vAlign w:val="center"/>
          </w:tcPr>
          <w:p>
            <w:pPr>
              <w:pStyle w:val="46"/>
              <w:ind w:firstLine="0" w:firstLineChars="0"/>
              <w:jc w:val="center"/>
              <w:rPr>
                <w:color w:val="auto"/>
                <w:szCs w:val="18"/>
              </w:rPr>
            </w:pPr>
            <w:r>
              <w:rPr>
                <w:rFonts w:hint="eastAsia" w:ascii="Times New Roman"/>
                <w:color w:val="auto"/>
                <w:sz w:val="18"/>
                <w:szCs w:val="18"/>
              </w:rPr>
              <w:t>参照标准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54" w:hRule="atLeast"/>
        </w:trPr>
        <w:tc>
          <w:tcPr>
            <w:tcW w:w="1561" w:type="dxa"/>
            <w:vAlign w:val="center"/>
          </w:tcPr>
          <w:p>
            <w:pPr>
              <w:pStyle w:val="57"/>
              <w:spacing w:beforeLines="0" w:afterLines="0"/>
              <w:ind w:left="0"/>
              <w:jc w:val="center"/>
              <w:rPr>
                <w:color w:val="auto"/>
              </w:rPr>
            </w:pPr>
            <w:r>
              <w:rPr>
                <w:rFonts w:hint="eastAsia" w:ascii="宋体" w:eastAsia="宋体"/>
                <w:color w:val="auto"/>
                <w:sz w:val="18"/>
                <w:szCs w:val="18"/>
              </w:rPr>
              <w:t>配送及时率</w:t>
            </w:r>
          </w:p>
        </w:tc>
        <w:tc>
          <w:tcPr>
            <w:tcW w:w="2322" w:type="dxa"/>
            <w:vAlign w:val="center"/>
          </w:tcPr>
          <w:p>
            <w:pPr>
              <w:pStyle w:val="46"/>
              <w:ind w:firstLine="0" w:firstLineChars="0"/>
              <w:jc w:val="left"/>
              <w:rPr>
                <w:color w:val="auto"/>
                <w:szCs w:val="18"/>
              </w:rPr>
            </w:pPr>
            <w:r>
              <w:rPr>
                <w:rFonts w:hint="eastAsia"/>
                <w:color w:val="auto"/>
                <w:sz w:val="18"/>
                <w:szCs w:val="18"/>
              </w:rPr>
              <w:t>评价期内按时完成的订单数占总订单数的比例</w:t>
            </w:r>
          </w:p>
        </w:tc>
        <w:tc>
          <w:tcPr>
            <w:tcW w:w="3615" w:type="dxa"/>
            <w:vAlign w:val="center"/>
          </w:tcPr>
          <w:p>
            <w:pPr>
              <w:jc w:val="center"/>
              <w:rPr>
                <w:rFonts w:ascii="黑体" w:hAnsi="黑体" w:cs="黑体"/>
                <w:color w:val="auto"/>
                <w:sz w:val="18"/>
                <w:szCs w:val="22"/>
              </w:rPr>
            </w:pPr>
            <m:oMathPara>
              <m:oMath>
                <m:r>
                  <m:rPr>
                    <m:sty m:val="p"/>
                  </m:rPr>
                  <w:rPr>
                    <w:rFonts w:ascii="Cambria Math" w:hAnsi="Cambria Math" w:cs="黑体"/>
                    <w:color w:val="auto"/>
                    <w:sz w:val="18"/>
                    <w:szCs w:val="22"/>
                  </w:rPr>
                  <m:t>配送及时率=</m:t>
                </m:r>
                <m:f>
                  <m:fPr>
                    <m:ctrlPr>
                      <w:rPr>
                        <w:rFonts w:ascii="Cambria Math" w:hAnsi="Cambria Math" w:cs="黑体"/>
                        <w:color w:val="auto"/>
                        <w:sz w:val="18"/>
                        <w:szCs w:val="22"/>
                      </w:rPr>
                    </m:ctrlPr>
                  </m:fPr>
                  <m:num>
                    <m:r>
                      <m:rPr>
                        <m:sty m:val="p"/>
                      </m:rPr>
                      <w:rPr>
                        <w:rFonts w:ascii="Cambria Math" w:hAnsi="Cambria Math" w:cs="黑体"/>
                        <w:color w:val="auto"/>
                        <w:sz w:val="18"/>
                        <w:szCs w:val="22"/>
                      </w:rPr>
                      <m:t>按时完成订单数</m:t>
                    </m:r>
                    <m:ctrlPr>
                      <w:rPr>
                        <w:rFonts w:ascii="Cambria Math" w:hAnsi="Cambria Math" w:cs="黑体"/>
                        <w:color w:val="auto"/>
                        <w:sz w:val="18"/>
                        <w:szCs w:val="22"/>
                      </w:rPr>
                    </m:ctrlPr>
                  </m:num>
                  <m:den>
                    <m:r>
                      <m:rPr>
                        <m:sty m:val="p"/>
                      </m:rPr>
                      <w:rPr>
                        <w:rFonts w:ascii="Cambria Math" w:hAnsi="Cambria Math" w:cs="黑体"/>
                        <w:color w:val="auto"/>
                        <w:sz w:val="18"/>
                        <w:szCs w:val="22"/>
                      </w:rPr>
                      <m:t>总订单数</m:t>
                    </m:r>
                    <m:ctrlPr>
                      <w:rPr>
                        <w:rFonts w:ascii="Cambria Math" w:hAnsi="Cambria Math" w:cs="黑体"/>
                        <w:color w:val="auto"/>
                        <w:sz w:val="18"/>
                        <w:szCs w:val="22"/>
                      </w:rPr>
                    </m:ctrlPr>
                  </m:den>
                </m:f>
                <m:r>
                  <w:rPr>
                    <w:rFonts w:ascii="Cambria Math" w:hAnsi="Cambria Math" w:cs="黑体"/>
                    <w:color w:val="auto"/>
                    <w:sz w:val="18"/>
                    <w:szCs w:val="22"/>
                  </w:rPr>
                  <m:t>×100%</m:t>
                </m:r>
              </m:oMath>
            </m:oMathPara>
          </w:p>
        </w:tc>
        <w:tc>
          <w:tcPr>
            <w:tcW w:w="885" w:type="dxa"/>
            <w:vAlign w:val="center"/>
          </w:tcPr>
          <w:p>
            <w:pPr>
              <w:pStyle w:val="46"/>
              <w:ind w:firstLine="0" w:firstLineChars="0"/>
              <w:jc w:val="center"/>
              <w:rPr>
                <w:color w:val="auto"/>
                <w:szCs w:val="18"/>
              </w:rPr>
            </w:pPr>
            <w:r>
              <w:rPr>
                <w:rFonts w:hint="eastAsia" w:hAnsi="黑体"/>
                <w:color w:val="auto"/>
                <w:sz w:val="18"/>
                <w:szCs w:val="18"/>
              </w:rPr>
              <w:t>≥</w:t>
            </w:r>
            <w:r>
              <w:rPr>
                <w:color w:val="auto"/>
                <w:sz w:val="18"/>
                <w:szCs w:val="18"/>
              </w:rPr>
              <w:t>97</w:t>
            </w:r>
            <w:r>
              <w:rPr>
                <w:rFonts w:hint="eastAsia"/>
                <w:color w:val="auto"/>
                <w:sz w:val="18"/>
                <w:szCs w:val="18"/>
              </w:rPr>
              <w:t>%</w:t>
            </w:r>
          </w:p>
        </w:tc>
        <w:tc>
          <w:tcPr>
            <w:tcW w:w="1187" w:type="dxa"/>
            <w:vAlign w:val="center"/>
          </w:tcPr>
          <w:p>
            <w:pPr>
              <w:pStyle w:val="46"/>
              <w:ind w:firstLine="420"/>
              <w:jc w:val="center"/>
              <w:rPr>
                <w:color w:val="aut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54" w:hRule="atLeast"/>
        </w:trPr>
        <w:tc>
          <w:tcPr>
            <w:tcW w:w="1561" w:type="dxa"/>
            <w:vAlign w:val="center"/>
          </w:tcPr>
          <w:p>
            <w:pPr>
              <w:pStyle w:val="46"/>
              <w:ind w:firstLine="0" w:firstLineChars="0"/>
              <w:jc w:val="center"/>
              <w:rPr>
                <w:color w:val="auto"/>
                <w:szCs w:val="18"/>
              </w:rPr>
            </w:pPr>
            <w:r>
              <w:rPr>
                <w:rFonts w:hint="eastAsia"/>
                <w:color w:val="auto"/>
                <w:sz w:val="18"/>
                <w:szCs w:val="18"/>
              </w:rPr>
              <w:t>配送准确率</w:t>
            </w:r>
          </w:p>
        </w:tc>
        <w:tc>
          <w:tcPr>
            <w:tcW w:w="2322" w:type="dxa"/>
            <w:vAlign w:val="center"/>
          </w:tcPr>
          <w:p>
            <w:pPr>
              <w:pStyle w:val="46"/>
              <w:ind w:firstLine="0" w:firstLineChars="0"/>
              <w:jc w:val="left"/>
              <w:rPr>
                <w:color w:val="auto"/>
                <w:szCs w:val="18"/>
              </w:rPr>
            </w:pPr>
            <w:r>
              <w:rPr>
                <w:rFonts w:hint="eastAsia"/>
                <w:color w:val="auto"/>
                <w:sz w:val="18"/>
                <w:szCs w:val="18"/>
              </w:rPr>
              <w:t>评价期内无差错配送订单数占总订单数比例</w:t>
            </w:r>
          </w:p>
        </w:tc>
        <w:tc>
          <w:tcPr>
            <w:tcW w:w="3615" w:type="dxa"/>
            <w:vAlign w:val="center"/>
          </w:tcPr>
          <w:p>
            <w:pPr>
              <w:jc w:val="center"/>
              <w:rPr>
                <w:rFonts w:ascii="黑体" w:hAnsi="黑体" w:cs="黑体"/>
                <w:color w:val="auto"/>
                <w:sz w:val="18"/>
                <w:szCs w:val="22"/>
              </w:rPr>
            </w:pPr>
            <m:oMathPara>
              <m:oMath>
                <m:r>
                  <m:rPr>
                    <m:sty m:val="p"/>
                  </m:rPr>
                  <w:rPr>
                    <w:rFonts w:ascii="Cambria Math" w:hAnsi="Cambria Math" w:cs="黑体"/>
                    <w:color w:val="auto"/>
                    <w:sz w:val="18"/>
                    <w:szCs w:val="22"/>
                  </w:rPr>
                  <m:t>配送准确率=</m:t>
                </m:r>
                <m:f>
                  <m:fPr>
                    <m:ctrlPr>
                      <w:rPr>
                        <w:rFonts w:ascii="Cambria Math" w:hAnsi="Cambria Math" w:cs="黑体"/>
                        <w:color w:val="auto"/>
                        <w:sz w:val="18"/>
                        <w:szCs w:val="22"/>
                      </w:rPr>
                    </m:ctrlPr>
                  </m:fPr>
                  <m:num>
                    <m:r>
                      <m:rPr>
                        <m:sty m:val="p"/>
                      </m:rPr>
                      <w:rPr>
                        <w:rFonts w:ascii="Cambria Math" w:hAnsi="Cambria Math" w:cs="黑体"/>
                        <w:color w:val="auto"/>
                        <w:sz w:val="18"/>
                        <w:szCs w:val="22"/>
                      </w:rPr>
                      <m:t>无差错配送订单数</m:t>
                    </m:r>
                    <m:ctrlPr>
                      <w:rPr>
                        <w:rFonts w:ascii="Cambria Math" w:hAnsi="Cambria Math" w:cs="黑体"/>
                        <w:color w:val="auto"/>
                        <w:sz w:val="18"/>
                        <w:szCs w:val="22"/>
                      </w:rPr>
                    </m:ctrlPr>
                  </m:num>
                  <m:den>
                    <m:r>
                      <m:rPr>
                        <m:sty m:val="p"/>
                      </m:rPr>
                      <w:rPr>
                        <w:rFonts w:ascii="Cambria Math" w:hAnsi="Cambria Math" w:cs="黑体"/>
                        <w:color w:val="auto"/>
                        <w:sz w:val="18"/>
                        <w:szCs w:val="22"/>
                      </w:rPr>
                      <m:t>总订单数</m:t>
                    </m:r>
                    <m:ctrlPr>
                      <w:rPr>
                        <w:rFonts w:ascii="Cambria Math" w:hAnsi="Cambria Math" w:cs="黑体"/>
                        <w:color w:val="auto"/>
                        <w:sz w:val="18"/>
                        <w:szCs w:val="22"/>
                      </w:rPr>
                    </m:ctrlPr>
                  </m:den>
                </m:f>
                <m:r>
                  <w:rPr>
                    <w:rFonts w:ascii="Cambria Math" w:hAnsi="Cambria Math" w:cs="黑体"/>
                    <w:color w:val="auto"/>
                    <w:sz w:val="18"/>
                    <w:szCs w:val="22"/>
                  </w:rPr>
                  <m:t>×100%</m:t>
                </m:r>
              </m:oMath>
            </m:oMathPara>
          </w:p>
        </w:tc>
        <w:tc>
          <w:tcPr>
            <w:tcW w:w="885" w:type="dxa"/>
            <w:vAlign w:val="center"/>
          </w:tcPr>
          <w:p>
            <w:pPr>
              <w:pStyle w:val="46"/>
              <w:ind w:firstLine="0" w:firstLineChars="0"/>
              <w:jc w:val="center"/>
              <w:rPr>
                <w:color w:val="auto"/>
                <w:szCs w:val="18"/>
              </w:rPr>
            </w:pPr>
            <w:r>
              <w:rPr>
                <w:rFonts w:hint="eastAsia" w:hAnsi="黑体"/>
                <w:color w:val="auto"/>
                <w:sz w:val="18"/>
                <w:szCs w:val="18"/>
              </w:rPr>
              <w:t>≥</w:t>
            </w:r>
            <w:r>
              <w:rPr>
                <w:color w:val="auto"/>
                <w:sz w:val="18"/>
                <w:szCs w:val="18"/>
              </w:rPr>
              <w:t>99</w:t>
            </w:r>
            <w:r>
              <w:rPr>
                <w:rFonts w:hint="eastAsia"/>
                <w:color w:val="auto"/>
                <w:sz w:val="18"/>
                <w:szCs w:val="18"/>
              </w:rPr>
              <w:t>.5%</w:t>
            </w:r>
          </w:p>
        </w:tc>
        <w:tc>
          <w:tcPr>
            <w:tcW w:w="1187" w:type="dxa"/>
            <w:vAlign w:val="center"/>
          </w:tcPr>
          <w:p>
            <w:pPr>
              <w:pStyle w:val="46"/>
              <w:ind w:firstLine="420"/>
              <w:jc w:val="center"/>
              <w:rPr>
                <w:color w:val="aut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54" w:hRule="atLeast"/>
        </w:trPr>
        <w:tc>
          <w:tcPr>
            <w:tcW w:w="1561" w:type="dxa"/>
            <w:vAlign w:val="center"/>
          </w:tcPr>
          <w:p>
            <w:pPr>
              <w:pStyle w:val="57"/>
              <w:spacing w:before="0" w:beforeLines="0" w:after="0" w:afterLines="0"/>
              <w:ind w:left="0"/>
              <w:jc w:val="center"/>
              <w:rPr>
                <w:color w:val="auto"/>
              </w:rPr>
            </w:pPr>
            <w:r>
              <w:rPr>
                <w:rFonts w:hint="eastAsia" w:ascii="宋体" w:eastAsia="宋体"/>
                <w:color w:val="auto"/>
                <w:sz w:val="18"/>
                <w:szCs w:val="18"/>
              </w:rPr>
              <w:t>订单完成率</w:t>
            </w:r>
          </w:p>
        </w:tc>
        <w:tc>
          <w:tcPr>
            <w:tcW w:w="2322" w:type="dxa"/>
            <w:vAlign w:val="center"/>
          </w:tcPr>
          <w:p>
            <w:pPr>
              <w:pStyle w:val="46"/>
              <w:ind w:firstLine="0" w:firstLineChars="0"/>
              <w:jc w:val="left"/>
              <w:rPr>
                <w:color w:val="auto"/>
                <w:szCs w:val="18"/>
              </w:rPr>
            </w:pPr>
            <w:r>
              <w:rPr>
                <w:rFonts w:hint="eastAsia"/>
                <w:color w:val="auto"/>
                <w:sz w:val="18"/>
                <w:szCs w:val="18"/>
              </w:rPr>
              <w:t>评价期内完成的订单数占总订单数的比例</w:t>
            </w:r>
          </w:p>
        </w:tc>
        <w:tc>
          <w:tcPr>
            <w:tcW w:w="3615" w:type="dxa"/>
            <w:vAlign w:val="center"/>
          </w:tcPr>
          <w:p>
            <w:pPr>
              <w:jc w:val="center"/>
              <w:rPr>
                <w:rFonts w:ascii="黑体" w:hAnsi="黑体" w:cs="黑体"/>
                <w:color w:val="auto"/>
                <w:sz w:val="18"/>
                <w:szCs w:val="22"/>
              </w:rPr>
            </w:pPr>
            <m:oMathPara>
              <m:oMath>
                <m:r>
                  <m:rPr>
                    <m:sty m:val="p"/>
                  </m:rPr>
                  <w:rPr>
                    <w:rFonts w:ascii="Cambria Math" w:hAnsi="Cambria Math" w:cs="黑体"/>
                    <w:color w:val="auto"/>
                    <w:sz w:val="18"/>
                    <w:szCs w:val="22"/>
                  </w:rPr>
                  <m:t>订单完成率=</m:t>
                </m:r>
                <m:f>
                  <m:fPr>
                    <m:ctrlPr>
                      <w:rPr>
                        <w:rFonts w:ascii="Cambria Math" w:hAnsi="Cambria Math" w:cs="黑体"/>
                        <w:color w:val="auto"/>
                        <w:sz w:val="18"/>
                        <w:szCs w:val="22"/>
                      </w:rPr>
                    </m:ctrlPr>
                  </m:fPr>
                  <m:num>
                    <m:r>
                      <m:rPr>
                        <m:sty m:val="p"/>
                      </m:rPr>
                      <w:rPr>
                        <w:rFonts w:ascii="Cambria Math" w:hAnsi="Cambria Math" w:cs="黑体"/>
                        <w:color w:val="auto"/>
                        <w:sz w:val="18"/>
                        <w:szCs w:val="22"/>
                      </w:rPr>
                      <m:t>完成订单数</m:t>
                    </m:r>
                    <m:ctrlPr>
                      <w:rPr>
                        <w:rFonts w:ascii="Cambria Math" w:hAnsi="Cambria Math" w:cs="黑体"/>
                        <w:color w:val="auto"/>
                        <w:sz w:val="18"/>
                        <w:szCs w:val="22"/>
                      </w:rPr>
                    </m:ctrlPr>
                  </m:num>
                  <m:den>
                    <m:r>
                      <m:rPr>
                        <m:sty m:val="p"/>
                      </m:rPr>
                      <w:rPr>
                        <w:rFonts w:ascii="Cambria Math" w:hAnsi="Cambria Math" w:cs="黑体"/>
                        <w:color w:val="auto"/>
                        <w:sz w:val="18"/>
                        <w:szCs w:val="22"/>
                      </w:rPr>
                      <m:t>总订单数</m:t>
                    </m:r>
                    <m:ctrlPr>
                      <w:rPr>
                        <w:rFonts w:ascii="Cambria Math" w:hAnsi="Cambria Math" w:cs="黑体"/>
                        <w:color w:val="auto"/>
                        <w:sz w:val="18"/>
                        <w:szCs w:val="22"/>
                      </w:rPr>
                    </m:ctrlPr>
                  </m:den>
                </m:f>
                <m:r>
                  <w:rPr>
                    <w:rFonts w:ascii="Cambria Math" w:hAnsi="Cambria Math" w:cs="黑体"/>
                    <w:color w:val="auto"/>
                    <w:sz w:val="18"/>
                    <w:szCs w:val="22"/>
                  </w:rPr>
                  <m:t>×100%</m:t>
                </m:r>
              </m:oMath>
            </m:oMathPara>
          </w:p>
        </w:tc>
        <w:tc>
          <w:tcPr>
            <w:tcW w:w="885" w:type="dxa"/>
            <w:vAlign w:val="center"/>
          </w:tcPr>
          <w:p>
            <w:pPr>
              <w:pStyle w:val="46"/>
              <w:ind w:firstLine="0" w:firstLineChars="0"/>
              <w:jc w:val="center"/>
              <w:rPr>
                <w:color w:val="auto"/>
                <w:szCs w:val="18"/>
              </w:rPr>
            </w:pPr>
            <w:r>
              <w:rPr>
                <w:rFonts w:hint="eastAsia" w:hAnsi="黑体"/>
                <w:color w:val="auto"/>
                <w:sz w:val="18"/>
                <w:szCs w:val="18"/>
              </w:rPr>
              <w:t>≥</w:t>
            </w:r>
            <w:r>
              <w:rPr>
                <w:color w:val="auto"/>
                <w:sz w:val="18"/>
                <w:szCs w:val="18"/>
              </w:rPr>
              <w:t>99</w:t>
            </w:r>
            <w:r>
              <w:rPr>
                <w:rFonts w:hint="eastAsia"/>
                <w:color w:val="auto"/>
                <w:sz w:val="18"/>
                <w:szCs w:val="18"/>
              </w:rPr>
              <w:t>%</w:t>
            </w:r>
          </w:p>
        </w:tc>
        <w:tc>
          <w:tcPr>
            <w:tcW w:w="1187" w:type="dxa"/>
            <w:vAlign w:val="center"/>
          </w:tcPr>
          <w:p>
            <w:pPr>
              <w:pStyle w:val="46"/>
              <w:ind w:firstLine="420"/>
              <w:jc w:val="center"/>
              <w:rPr>
                <w:color w:val="aut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54" w:hRule="atLeast"/>
        </w:trPr>
        <w:tc>
          <w:tcPr>
            <w:tcW w:w="1561" w:type="dxa"/>
            <w:vAlign w:val="center"/>
          </w:tcPr>
          <w:p>
            <w:pPr>
              <w:pStyle w:val="46"/>
              <w:ind w:firstLine="0" w:firstLineChars="0"/>
              <w:jc w:val="center"/>
              <w:rPr>
                <w:color w:val="auto"/>
                <w:szCs w:val="18"/>
              </w:rPr>
            </w:pPr>
            <w:r>
              <w:rPr>
                <w:rFonts w:hint="eastAsia" w:ascii="Times New Roman"/>
                <w:color w:val="auto"/>
                <w:sz w:val="18"/>
                <w:szCs w:val="18"/>
              </w:rPr>
              <w:t>遗失破损率</w:t>
            </w:r>
          </w:p>
        </w:tc>
        <w:tc>
          <w:tcPr>
            <w:tcW w:w="2322" w:type="dxa"/>
            <w:vAlign w:val="center"/>
          </w:tcPr>
          <w:p>
            <w:pPr>
              <w:pStyle w:val="46"/>
              <w:ind w:firstLine="0" w:firstLineChars="0"/>
              <w:jc w:val="left"/>
              <w:rPr>
                <w:color w:val="auto"/>
                <w:szCs w:val="18"/>
              </w:rPr>
            </w:pPr>
            <w:r>
              <w:rPr>
                <w:rFonts w:hint="eastAsia"/>
                <w:color w:val="auto"/>
                <w:sz w:val="18"/>
                <w:szCs w:val="18"/>
              </w:rPr>
              <w:t>评价期内遗失破损订单数占总订单数的比例</w:t>
            </w:r>
          </w:p>
        </w:tc>
        <w:tc>
          <w:tcPr>
            <w:tcW w:w="3615" w:type="dxa"/>
            <w:vAlign w:val="center"/>
          </w:tcPr>
          <w:p>
            <w:pPr>
              <w:jc w:val="center"/>
              <w:rPr>
                <w:rFonts w:ascii="黑体" w:hAnsi="黑体" w:eastAsia="黑体" w:cs="黑体"/>
                <w:color w:val="auto"/>
                <w:sz w:val="18"/>
                <w:szCs w:val="22"/>
              </w:rPr>
            </w:pPr>
            <m:oMathPara>
              <m:oMath>
                <m:r>
                  <m:rPr>
                    <m:sty m:val="p"/>
                  </m:rPr>
                  <w:rPr>
                    <w:rFonts w:ascii="Cambria Math" w:hAnsi="Cambria Math" w:cs="黑体"/>
                    <w:color w:val="auto"/>
                    <w:sz w:val="18"/>
                    <w:szCs w:val="22"/>
                  </w:rPr>
                  <m:t>遗失破损率=</m:t>
                </m:r>
                <m:f>
                  <m:fPr>
                    <m:ctrlPr>
                      <w:rPr>
                        <w:rFonts w:ascii="Cambria Math" w:hAnsi="Cambria Math" w:cs="黑体"/>
                        <w:color w:val="auto"/>
                        <w:sz w:val="18"/>
                        <w:szCs w:val="22"/>
                      </w:rPr>
                    </m:ctrlPr>
                  </m:fPr>
                  <m:num>
                    <m:r>
                      <m:rPr>
                        <m:sty m:val="p"/>
                      </m:rPr>
                      <w:rPr>
                        <w:rFonts w:ascii="Cambria Math" w:hAnsi="Cambria Math" w:cs="黑体"/>
                        <w:color w:val="auto"/>
                        <w:sz w:val="18"/>
                        <w:szCs w:val="22"/>
                      </w:rPr>
                      <m:t>遗失破损订单数</m:t>
                    </m:r>
                    <m:ctrlPr>
                      <w:rPr>
                        <w:rFonts w:ascii="Cambria Math" w:hAnsi="Cambria Math" w:cs="黑体"/>
                        <w:color w:val="auto"/>
                        <w:sz w:val="18"/>
                        <w:szCs w:val="22"/>
                      </w:rPr>
                    </m:ctrlPr>
                  </m:num>
                  <m:den>
                    <m:r>
                      <m:rPr>
                        <m:sty m:val="p"/>
                      </m:rPr>
                      <w:rPr>
                        <w:rFonts w:ascii="Cambria Math" w:hAnsi="Cambria Math" w:cs="黑体"/>
                        <w:color w:val="auto"/>
                        <w:sz w:val="18"/>
                        <w:szCs w:val="22"/>
                      </w:rPr>
                      <m:t>总订单数</m:t>
                    </m:r>
                    <m:ctrlPr>
                      <w:rPr>
                        <w:rFonts w:ascii="Cambria Math" w:hAnsi="Cambria Math" w:cs="黑体"/>
                        <w:color w:val="auto"/>
                        <w:sz w:val="18"/>
                        <w:szCs w:val="22"/>
                      </w:rPr>
                    </m:ctrlPr>
                  </m:den>
                </m:f>
                <m:r>
                  <w:rPr>
                    <w:rFonts w:ascii="Cambria Math" w:hAnsi="Cambria Math" w:cs="黑体"/>
                    <w:color w:val="auto"/>
                    <w:sz w:val="18"/>
                    <w:szCs w:val="22"/>
                  </w:rPr>
                  <m:t>×100%</m:t>
                </m:r>
              </m:oMath>
            </m:oMathPara>
          </w:p>
        </w:tc>
        <w:tc>
          <w:tcPr>
            <w:tcW w:w="885" w:type="dxa"/>
            <w:vAlign w:val="center"/>
          </w:tcPr>
          <w:p>
            <w:pPr>
              <w:pStyle w:val="46"/>
              <w:ind w:firstLine="0" w:firstLineChars="0"/>
              <w:jc w:val="center"/>
              <w:rPr>
                <w:color w:val="auto"/>
                <w:szCs w:val="18"/>
              </w:rPr>
            </w:pPr>
            <w:r>
              <w:rPr>
                <w:rFonts w:hint="eastAsia" w:hAnsi="黑体"/>
                <w:color w:val="auto"/>
                <w:sz w:val="18"/>
                <w:szCs w:val="18"/>
              </w:rPr>
              <w:t>≦0.02%</w:t>
            </w:r>
          </w:p>
        </w:tc>
        <w:tc>
          <w:tcPr>
            <w:tcW w:w="1187" w:type="dxa"/>
            <w:vAlign w:val="center"/>
          </w:tcPr>
          <w:p>
            <w:pPr>
              <w:pStyle w:val="46"/>
              <w:ind w:firstLine="420"/>
              <w:jc w:val="center"/>
              <w:rPr>
                <w:color w:val="aut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54" w:hRule="atLeast"/>
        </w:trPr>
        <w:tc>
          <w:tcPr>
            <w:tcW w:w="1561" w:type="dxa"/>
            <w:vAlign w:val="center"/>
          </w:tcPr>
          <w:p>
            <w:pPr>
              <w:pStyle w:val="46"/>
              <w:ind w:firstLine="0" w:firstLineChars="0"/>
              <w:jc w:val="center"/>
              <w:rPr>
                <w:color w:val="auto"/>
                <w:szCs w:val="18"/>
              </w:rPr>
            </w:pPr>
            <w:r>
              <w:rPr>
                <w:rFonts w:hint="eastAsia" w:ascii="Times New Roman"/>
                <w:color w:val="auto"/>
                <w:sz w:val="18"/>
                <w:szCs w:val="18"/>
              </w:rPr>
              <w:t>有效投诉率</w:t>
            </w:r>
          </w:p>
        </w:tc>
        <w:tc>
          <w:tcPr>
            <w:tcW w:w="2322" w:type="dxa"/>
            <w:vAlign w:val="center"/>
          </w:tcPr>
          <w:p>
            <w:pPr>
              <w:pStyle w:val="46"/>
              <w:ind w:firstLine="0" w:firstLineChars="0"/>
              <w:jc w:val="left"/>
              <w:rPr>
                <w:color w:val="auto"/>
                <w:szCs w:val="18"/>
              </w:rPr>
            </w:pPr>
            <w:r>
              <w:rPr>
                <w:rFonts w:hint="eastAsia"/>
                <w:color w:val="auto"/>
                <w:sz w:val="18"/>
                <w:szCs w:val="18"/>
              </w:rPr>
              <w:t>评价期内客户有效投诉订单数占总订单数比例</w:t>
            </w:r>
          </w:p>
        </w:tc>
        <w:tc>
          <w:tcPr>
            <w:tcW w:w="3615" w:type="dxa"/>
            <w:vAlign w:val="center"/>
          </w:tcPr>
          <w:p>
            <w:pPr>
              <w:jc w:val="center"/>
              <w:rPr>
                <w:rFonts w:ascii="黑体" w:hAnsi="黑体" w:eastAsia="黑体" w:cs="黑体"/>
                <w:color w:val="auto"/>
                <w:sz w:val="18"/>
                <w:szCs w:val="22"/>
              </w:rPr>
            </w:pPr>
            <m:oMathPara>
              <m:oMath>
                <m:r>
                  <m:rPr>
                    <m:sty m:val="p"/>
                  </m:rPr>
                  <w:rPr>
                    <w:rFonts w:ascii="Cambria Math" w:hAnsi="Cambria Math" w:cs="黑体"/>
                    <w:color w:val="auto"/>
                    <w:sz w:val="18"/>
                    <w:szCs w:val="22"/>
                  </w:rPr>
                  <m:t>有效投诉率=</m:t>
                </m:r>
                <m:f>
                  <m:fPr>
                    <m:ctrlPr>
                      <w:rPr>
                        <w:rFonts w:ascii="Cambria Math" w:hAnsi="Cambria Math" w:cs="黑体"/>
                        <w:color w:val="auto"/>
                        <w:sz w:val="18"/>
                        <w:szCs w:val="22"/>
                      </w:rPr>
                    </m:ctrlPr>
                  </m:fPr>
                  <m:num>
                    <m:r>
                      <m:rPr>
                        <m:sty m:val="p"/>
                      </m:rPr>
                      <w:rPr>
                        <w:rFonts w:ascii="Cambria Math" w:hAnsi="Cambria Math" w:cs="黑体"/>
                        <w:color w:val="auto"/>
                        <w:sz w:val="18"/>
                        <w:szCs w:val="22"/>
                      </w:rPr>
                      <m:t>有效投诉订单数</m:t>
                    </m:r>
                    <m:ctrlPr>
                      <w:rPr>
                        <w:rFonts w:ascii="Cambria Math" w:hAnsi="Cambria Math" w:cs="黑体"/>
                        <w:color w:val="auto"/>
                        <w:sz w:val="18"/>
                        <w:szCs w:val="22"/>
                      </w:rPr>
                    </m:ctrlPr>
                  </m:num>
                  <m:den>
                    <m:r>
                      <m:rPr>
                        <m:sty m:val="p"/>
                      </m:rPr>
                      <w:rPr>
                        <w:rFonts w:ascii="Cambria Math" w:hAnsi="Cambria Math" w:cs="黑体"/>
                        <w:color w:val="auto"/>
                        <w:sz w:val="18"/>
                        <w:szCs w:val="22"/>
                      </w:rPr>
                      <m:t>总订单数</m:t>
                    </m:r>
                    <m:ctrlPr>
                      <w:rPr>
                        <w:rFonts w:ascii="Cambria Math" w:hAnsi="Cambria Math" w:cs="黑体"/>
                        <w:color w:val="auto"/>
                        <w:sz w:val="18"/>
                        <w:szCs w:val="22"/>
                      </w:rPr>
                    </m:ctrlPr>
                  </m:den>
                </m:f>
                <m:r>
                  <w:rPr>
                    <w:rFonts w:ascii="Cambria Math" w:hAnsi="Cambria Math" w:cs="黑体"/>
                    <w:color w:val="auto"/>
                    <w:sz w:val="18"/>
                    <w:szCs w:val="22"/>
                  </w:rPr>
                  <m:t>×100%</m:t>
                </m:r>
              </m:oMath>
            </m:oMathPara>
          </w:p>
        </w:tc>
        <w:tc>
          <w:tcPr>
            <w:tcW w:w="885" w:type="dxa"/>
            <w:vAlign w:val="center"/>
          </w:tcPr>
          <w:p>
            <w:pPr>
              <w:pStyle w:val="46"/>
              <w:ind w:firstLine="0" w:firstLineChars="0"/>
              <w:jc w:val="center"/>
              <w:rPr>
                <w:color w:val="auto"/>
                <w:szCs w:val="18"/>
              </w:rPr>
            </w:pPr>
            <w:r>
              <w:rPr>
                <w:rFonts w:hint="eastAsia"/>
                <w:color w:val="auto"/>
                <w:sz w:val="18"/>
                <w:szCs w:val="18"/>
              </w:rPr>
              <w:t>≤</w:t>
            </w:r>
            <w:r>
              <w:rPr>
                <w:color w:val="auto"/>
                <w:sz w:val="18"/>
                <w:szCs w:val="18"/>
              </w:rPr>
              <w:t>0.8</w:t>
            </w:r>
            <w:r>
              <w:rPr>
                <w:rFonts w:hint="eastAsia"/>
                <w:color w:val="auto"/>
                <w:sz w:val="18"/>
                <w:szCs w:val="18"/>
              </w:rPr>
              <w:t>%</w:t>
            </w:r>
          </w:p>
        </w:tc>
        <w:tc>
          <w:tcPr>
            <w:tcW w:w="1187" w:type="dxa"/>
            <w:vAlign w:val="center"/>
          </w:tcPr>
          <w:p>
            <w:pPr>
              <w:pStyle w:val="46"/>
              <w:ind w:firstLine="420"/>
              <w:jc w:val="center"/>
              <w:rPr>
                <w:color w:val="aut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54" w:hRule="atLeast"/>
        </w:trPr>
        <w:tc>
          <w:tcPr>
            <w:tcW w:w="1561" w:type="dxa"/>
            <w:vAlign w:val="center"/>
          </w:tcPr>
          <w:p>
            <w:pPr>
              <w:pStyle w:val="46"/>
              <w:ind w:firstLine="0" w:firstLineChars="0"/>
              <w:jc w:val="center"/>
              <w:rPr>
                <w:color w:val="auto"/>
                <w:szCs w:val="18"/>
              </w:rPr>
            </w:pPr>
            <w:r>
              <w:rPr>
                <w:rFonts w:hint="eastAsia" w:hAnsi="黑体" w:cs="黑体"/>
                <w:color w:val="auto"/>
                <w:sz w:val="18"/>
                <w:szCs w:val="18"/>
              </w:rPr>
              <w:t>投诉处理及时率</w:t>
            </w:r>
          </w:p>
        </w:tc>
        <w:tc>
          <w:tcPr>
            <w:tcW w:w="2322" w:type="dxa"/>
            <w:vAlign w:val="center"/>
          </w:tcPr>
          <w:p>
            <w:pPr>
              <w:pStyle w:val="46"/>
              <w:ind w:firstLine="0" w:firstLineChars="0"/>
              <w:jc w:val="left"/>
              <w:rPr>
                <w:color w:val="auto"/>
                <w:szCs w:val="18"/>
              </w:rPr>
            </w:pPr>
            <w:r>
              <w:rPr>
                <w:rFonts w:hint="eastAsia"/>
                <w:color w:val="auto"/>
                <w:sz w:val="18"/>
                <w:szCs w:val="18"/>
              </w:rPr>
              <w:t>规定时效内处理投诉件数占总投诉件数的比例</w:t>
            </w:r>
          </w:p>
        </w:tc>
        <w:tc>
          <w:tcPr>
            <w:tcW w:w="3615" w:type="dxa"/>
            <w:vAlign w:val="center"/>
          </w:tcPr>
          <w:p>
            <w:pPr>
              <w:jc w:val="center"/>
              <w:rPr>
                <w:rFonts w:ascii="黑体" w:hAnsi="黑体" w:eastAsia="黑体" w:cs="黑体"/>
                <w:color w:val="auto"/>
                <w:sz w:val="18"/>
                <w:szCs w:val="22"/>
              </w:rPr>
            </w:pPr>
            <m:oMathPara>
              <m:oMath>
                <m:r>
                  <m:rPr>
                    <m:sty m:val="p"/>
                  </m:rPr>
                  <w:rPr>
                    <w:rFonts w:ascii="Cambria Math" w:hAnsi="Cambria Math" w:cs="黑体"/>
                    <w:color w:val="auto"/>
                    <w:sz w:val="18"/>
                    <w:szCs w:val="22"/>
                  </w:rPr>
                  <m:t>投诉及时率=</m:t>
                </m:r>
                <m:f>
                  <m:fPr>
                    <m:ctrlPr>
                      <w:rPr>
                        <w:rFonts w:ascii="Cambria Math" w:hAnsi="Cambria Math" w:cs="黑体"/>
                        <w:color w:val="auto"/>
                        <w:sz w:val="18"/>
                        <w:szCs w:val="22"/>
                      </w:rPr>
                    </m:ctrlPr>
                  </m:fPr>
                  <m:num>
                    <m:r>
                      <m:rPr>
                        <m:sty m:val="p"/>
                      </m:rPr>
                      <w:rPr>
                        <w:rFonts w:ascii="Cambria Math" w:hAnsi="Cambria Math" w:cs="黑体"/>
                        <w:color w:val="auto"/>
                        <w:sz w:val="18"/>
                        <w:szCs w:val="22"/>
                      </w:rPr>
                      <m:t>及时处理投诉件数</m:t>
                    </m:r>
                    <m:ctrlPr>
                      <w:rPr>
                        <w:rFonts w:ascii="Cambria Math" w:hAnsi="Cambria Math" w:cs="黑体"/>
                        <w:color w:val="auto"/>
                        <w:sz w:val="18"/>
                        <w:szCs w:val="22"/>
                      </w:rPr>
                    </m:ctrlPr>
                  </m:num>
                  <m:den>
                    <m:r>
                      <m:rPr>
                        <m:sty m:val="p"/>
                      </m:rPr>
                      <w:rPr>
                        <w:rFonts w:ascii="Cambria Math" w:hAnsi="Cambria Math" w:cs="黑体"/>
                        <w:color w:val="auto"/>
                        <w:sz w:val="18"/>
                        <w:szCs w:val="22"/>
                      </w:rPr>
                      <m:t>总投诉件数</m:t>
                    </m:r>
                    <m:ctrlPr>
                      <w:rPr>
                        <w:rFonts w:ascii="Cambria Math" w:hAnsi="Cambria Math" w:cs="黑体"/>
                        <w:color w:val="auto"/>
                        <w:sz w:val="18"/>
                        <w:szCs w:val="22"/>
                      </w:rPr>
                    </m:ctrlPr>
                  </m:den>
                </m:f>
                <m:r>
                  <w:rPr>
                    <w:rFonts w:ascii="Cambria Math" w:hAnsi="Cambria Math" w:cs="黑体"/>
                    <w:color w:val="auto"/>
                    <w:sz w:val="18"/>
                    <w:szCs w:val="22"/>
                  </w:rPr>
                  <m:t>×100%</m:t>
                </m:r>
              </m:oMath>
            </m:oMathPara>
          </w:p>
        </w:tc>
        <w:tc>
          <w:tcPr>
            <w:tcW w:w="885" w:type="dxa"/>
            <w:vAlign w:val="center"/>
          </w:tcPr>
          <w:p>
            <w:pPr>
              <w:pStyle w:val="46"/>
              <w:ind w:firstLine="0" w:firstLineChars="0"/>
              <w:jc w:val="center"/>
              <w:rPr>
                <w:color w:val="auto"/>
                <w:szCs w:val="18"/>
              </w:rPr>
            </w:pPr>
            <w:r>
              <w:rPr>
                <w:rFonts w:hint="eastAsia" w:hAnsi="黑体"/>
                <w:color w:val="auto"/>
                <w:sz w:val="18"/>
                <w:szCs w:val="18"/>
              </w:rPr>
              <w:t>≥</w:t>
            </w:r>
            <w:r>
              <w:rPr>
                <w:color w:val="auto"/>
                <w:sz w:val="18"/>
                <w:szCs w:val="18"/>
              </w:rPr>
              <w:t>9</w:t>
            </w:r>
            <w:r>
              <w:rPr>
                <w:rFonts w:hint="eastAsia"/>
                <w:color w:val="auto"/>
                <w:sz w:val="18"/>
                <w:szCs w:val="18"/>
              </w:rPr>
              <w:t>8%</w:t>
            </w:r>
          </w:p>
        </w:tc>
        <w:tc>
          <w:tcPr>
            <w:tcW w:w="1187" w:type="dxa"/>
            <w:vAlign w:val="center"/>
          </w:tcPr>
          <w:p>
            <w:pPr>
              <w:pStyle w:val="46"/>
              <w:ind w:firstLine="420"/>
              <w:jc w:val="center"/>
              <w:rPr>
                <w:color w:val="auto"/>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454" w:hRule="atLeast"/>
        </w:trPr>
        <w:tc>
          <w:tcPr>
            <w:tcW w:w="1561" w:type="dxa"/>
            <w:vAlign w:val="center"/>
          </w:tcPr>
          <w:p>
            <w:pPr>
              <w:pStyle w:val="57"/>
              <w:spacing w:before="0" w:beforeLines="0" w:after="0" w:afterLines="0"/>
              <w:ind w:left="0"/>
              <w:jc w:val="center"/>
              <w:rPr>
                <w:color w:val="auto"/>
              </w:rPr>
            </w:pPr>
            <w:r>
              <w:rPr>
                <w:rFonts w:hint="eastAsia" w:ascii="宋体" w:eastAsia="宋体"/>
                <w:color w:val="auto"/>
                <w:sz w:val="18"/>
                <w:szCs w:val="18"/>
              </w:rPr>
              <w:t>客户满意度</w:t>
            </w:r>
          </w:p>
        </w:tc>
        <w:tc>
          <w:tcPr>
            <w:tcW w:w="2322" w:type="dxa"/>
            <w:vAlign w:val="center"/>
          </w:tcPr>
          <w:p>
            <w:pPr>
              <w:pStyle w:val="46"/>
              <w:ind w:firstLine="0" w:firstLineChars="0"/>
              <w:jc w:val="left"/>
              <w:rPr>
                <w:color w:val="auto"/>
                <w:szCs w:val="18"/>
              </w:rPr>
            </w:pPr>
            <w:r>
              <w:rPr>
                <w:rFonts w:hint="eastAsia" w:hAnsi="宋体" w:cs="宋体"/>
                <w:color w:val="auto"/>
                <w:sz w:val="18"/>
                <w:szCs w:val="18"/>
              </w:rPr>
              <w:t>评价</w:t>
            </w:r>
            <w:r>
              <w:rPr>
                <w:rFonts w:hAnsi="宋体" w:cs="宋体"/>
                <w:color w:val="auto"/>
                <w:sz w:val="18"/>
                <w:szCs w:val="18"/>
              </w:rPr>
              <w:t>期内</w:t>
            </w:r>
            <w:r>
              <w:rPr>
                <w:rFonts w:hint="eastAsia" w:hAnsi="宋体" w:cs="宋体"/>
                <w:color w:val="auto"/>
                <w:sz w:val="18"/>
                <w:szCs w:val="18"/>
              </w:rPr>
              <w:t>根据客户调查问卷得出的客户满意数占答卷客户总数的</w:t>
            </w:r>
            <w:r>
              <w:rPr>
                <w:rFonts w:hint="eastAsia"/>
                <w:color w:val="auto"/>
                <w:sz w:val="18"/>
                <w:szCs w:val="18"/>
              </w:rPr>
              <w:t>比例</w:t>
            </w:r>
          </w:p>
        </w:tc>
        <w:tc>
          <w:tcPr>
            <w:tcW w:w="3615" w:type="dxa"/>
            <w:vAlign w:val="center"/>
          </w:tcPr>
          <w:p>
            <w:pPr>
              <w:jc w:val="center"/>
              <w:rPr>
                <w:rFonts w:ascii="黑体" w:hAnsi="黑体" w:eastAsia="黑体" w:cs="黑体"/>
                <w:color w:val="auto"/>
                <w:sz w:val="18"/>
                <w:szCs w:val="22"/>
              </w:rPr>
            </w:pPr>
            <m:oMathPara>
              <m:oMath>
                <m:r>
                  <m:rPr>
                    <m:sty m:val="p"/>
                  </m:rPr>
                  <w:rPr>
                    <w:rFonts w:ascii="Cambria Math" w:hAnsi="Cambria Math" w:cs="黑体"/>
                    <w:color w:val="auto"/>
                    <w:sz w:val="18"/>
                    <w:szCs w:val="22"/>
                  </w:rPr>
                  <m:t>客户满意度=</m:t>
                </m:r>
                <m:f>
                  <m:fPr>
                    <m:ctrlPr>
                      <w:rPr>
                        <w:rFonts w:ascii="Cambria Math" w:hAnsi="Cambria Math" w:cs="黑体"/>
                        <w:color w:val="auto"/>
                        <w:sz w:val="18"/>
                        <w:szCs w:val="22"/>
                      </w:rPr>
                    </m:ctrlPr>
                  </m:fPr>
                  <m:num>
                    <m:r>
                      <m:rPr>
                        <m:sty m:val="p"/>
                      </m:rPr>
                      <w:rPr>
                        <w:rFonts w:ascii="Cambria Math" w:hAnsi="Cambria Math" w:cs="黑体"/>
                        <w:color w:val="auto"/>
                        <w:sz w:val="18"/>
                        <w:szCs w:val="22"/>
                      </w:rPr>
                      <m:t>满意客户数</m:t>
                    </m:r>
                    <m:ctrlPr>
                      <w:rPr>
                        <w:rFonts w:ascii="Cambria Math" w:hAnsi="Cambria Math" w:cs="黑体"/>
                        <w:color w:val="auto"/>
                        <w:sz w:val="18"/>
                        <w:szCs w:val="22"/>
                      </w:rPr>
                    </m:ctrlPr>
                  </m:num>
                  <m:den>
                    <m:r>
                      <m:rPr>
                        <m:sty m:val="p"/>
                      </m:rPr>
                      <w:rPr>
                        <w:rFonts w:ascii="Cambria Math" w:hAnsi="Cambria Math" w:cs="黑体"/>
                        <w:color w:val="auto"/>
                        <w:sz w:val="18"/>
                        <w:szCs w:val="22"/>
                      </w:rPr>
                      <m:t>答卷客户总数</m:t>
                    </m:r>
                    <m:ctrlPr>
                      <w:rPr>
                        <w:rFonts w:ascii="Cambria Math" w:hAnsi="Cambria Math" w:cs="黑体"/>
                        <w:color w:val="auto"/>
                        <w:sz w:val="18"/>
                        <w:szCs w:val="22"/>
                      </w:rPr>
                    </m:ctrlPr>
                  </m:den>
                </m:f>
                <m:r>
                  <w:rPr>
                    <w:rFonts w:ascii="Cambria Math" w:hAnsi="Cambria Math" w:cs="黑体"/>
                    <w:color w:val="auto"/>
                    <w:sz w:val="18"/>
                    <w:szCs w:val="22"/>
                  </w:rPr>
                  <m:t>×100%</m:t>
                </m:r>
              </m:oMath>
            </m:oMathPara>
          </w:p>
        </w:tc>
        <w:tc>
          <w:tcPr>
            <w:tcW w:w="885" w:type="dxa"/>
            <w:vAlign w:val="center"/>
          </w:tcPr>
          <w:p>
            <w:pPr>
              <w:pStyle w:val="46"/>
              <w:ind w:firstLine="0" w:firstLineChars="0"/>
              <w:jc w:val="center"/>
              <w:rPr>
                <w:color w:val="auto"/>
                <w:szCs w:val="18"/>
              </w:rPr>
            </w:pPr>
            <w:r>
              <w:rPr>
                <w:rFonts w:hint="eastAsia" w:hAnsi="黑体"/>
                <w:color w:val="auto"/>
                <w:sz w:val="18"/>
                <w:szCs w:val="18"/>
              </w:rPr>
              <w:t>≥</w:t>
            </w:r>
            <w:r>
              <w:rPr>
                <w:color w:val="auto"/>
                <w:sz w:val="18"/>
                <w:szCs w:val="18"/>
              </w:rPr>
              <w:t>9</w:t>
            </w:r>
            <w:r>
              <w:rPr>
                <w:rFonts w:hint="eastAsia"/>
                <w:color w:val="auto"/>
                <w:sz w:val="18"/>
                <w:szCs w:val="18"/>
              </w:rPr>
              <w:t>5%</w:t>
            </w:r>
          </w:p>
        </w:tc>
        <w:tc>
          <w:tcPr>
            <w:tcW w:w="1187" w:type="dxa"/>
            <w:vAlign w:val="center"/>
          </w:tcPr>
          <w:p>
            <w:pPr>
              <w:pStyle w:val="46"/>
              <w:ind w:firstLine="0" w:firstLineChars="0"/>
              <w:jc w:val="center"/>
              <w:rPr>
                <w:color w:val="auto"/>
                <w:szCs w:val="18"/>
              </w:rPr>
            </w:pPr>
            <w:r>
              <w:rPr>
                <w:rFonts w:hint="eastAsia"/>
                <w:color w:val="auto"/>
                <w:sz w:val="18"/>
                <w:szCs w:val="18"/>
              </w:rPr>
              <w:t>GB/T 19039-2009</w:t>
            </w:r>
          </w:p>
        </w:tc>
      </w:tr>
    </w:tbl>
    <w:p>
      <w:pPr>
        <w:pStyle w:val="46"/>
        <w:spacing w:line="20" w:lineRule="exact"/>
        <w:ind w:firstLine="420"/>
        <w:rPr>
          <w:rFonts w:ascii="黑体" w:hAnsi="黑体" w:eastAsia="黑体" w:cs="黑体"/>
          <w:color w:val="auto"/>
          <w:szCs w:val="22"/>
        </w:rPr>
      </w:pPr>
    </w:p>
    <w:p>
      <w:pPr>
        <w:pStyle w:val="45"/>
        <w:numPr>
          <w:ilvl w:val="0"/>
          <w:numId w:val="0"/>
        </w:numPr>
        <w:spacing w:before="312" w:after="312"/>
        <w:jc w:val="center"/>
        <w:rPr>
          <w:color w:val="auto"/>
          <w:szCs w:val="22"/>
        </w:rPr>
        <w:sectPr>
          <w:footerReference r:id="rId5" w:type="default"/>
          <w:pgSz w:w="11906" w:h="16838"/>
          <w:pgMar w:top="567" w:right="1134" w:bottom="1134" w:left="1418" w:header="1418" w:footer="907" w:gutter="0"/>
          <w:pgNumType w:start="1"/>
          <w:cols w:space="720" w:num="1"/>
          <w:formProt w:val="0"/>
          <w:docGrid w:type="lines" w:linePitch="312" w:charSpace="0"/>
        </w:sectPr>
      </w:pPr>
      <w:bookmarkStart w:id="123" w:name="_Toc312255137"/>
      <w:bookmarkStart w:id="124" w:name="BKCKWX"/>
      <w:bookmarkStart w:id="125" w:name="_Toc297711999"/>
      <w:bookmarkStart w:id="126" w:name="_Toc403047428"/>
      <w:bookmarkStart w:id="127" w:name="_Toc312254171"/>
      <w:bookmarkStart w:id="128" w:name="_Toc15688"/>
      <w:bookmarkStart w:id="129" w:name="_Toc5247"/>
    </w:p>
    <w:p>
      <w:pPr>
        <w:pStyle w:val="45"/>
        <w:numPr>
          <w:ilvl w:val="0"/>
          <w:numId w:val="0"/>
        </w:numPr>
        <w:spacing w:before="312" w:after="312"/>
        <w:jc w:val="center"/>
        <w:rPr>
          <w:color w:val="auto"/>
          <w:szCs w:val="22"/>
        </w:rPr>
      </w:pPr>
      <w:bookmarkStart w:id="130" w:name="_Toc14699"/>
      <w:r>
        <w:rPr>
          <w:rFonts w:hint="eastAsia"/>
          <w:color w:val="auto"/>
          <w:szCs w:val="22"/>
        </w:rPr>
        <w:t>参 考 文 献</w:t>
      </w:r>
      <w:bookmarkEnd w:id="123"/>
      <w:bookmarkEnd w:id="124"/>
      <w:bookmarkEnd w:id="125"/>
      <w:bookmarkEnd w:id="126"/>
      <w:bookmarkEnd w:id="127"/>
      <w:bookmarkEnd w:id="128"/>
      <w:bookmarkEnd w:id="129"/>
      <w:bookmarkEnd w:id="130"/>
    </w:p>
    <w:p>
      <w:pPr>
        <w:pStyle w:val="25"/>
        <w:rPr>
          <w:color w:val="auto"/>
        </w:rPr>
      </w:pPr>
      <w:r>
        <w:rPr>
          <w:rFonts w:hint="eastAsia"/>
          <w:color w:val="auto"/>
          <w:szCs w:val="22"/>
        </w:rPr>
        <w:t xml:space="preserve">[1] </w:t>
      </w:r>
      <w:r>
        <w:rPr>
          <w:rFonts w:hint="eastAsia"/>
          <w:color w:val="auto"/>
        </w:rPr>
        <w:t>GB/T 19039-2009  顾客满意测评通则</w:t>
      </w:r>
    </w:p>
    <w:p>
      <w:pPr>
        <w:pStyle w:val="25"/>
        <w:rPr>
          <w:color w:val="auto"/>
        </w:rPr>
      </w:pPr>
      <w:r>
        <w:rPr>
          <w:rFonts w:hint="eastAsia"/>
          <w:color w:val="auto"/>
          <w:szCs w:val="22"/>
        </w:rPr>
        <w:t xml:space="preserve">[2] </w:t>
      </w:r>
      <w:r>
        <w:rPr>
          <w:rFonts w:hint="eastAsia"/>
          <w:color w:val="auto"/>
          <w:lang w:bidi="ar"/>
        </w:rPr>
        <w:t xml:space="preserve">DB13/T 1345—2010  物流配送服务规范 </w:t>
      </w:r>
    </w:p>
    <w:p>
      <w:pPr>
        <w:pStyle w:val="25"/>
        <w:rPr>
          <w:color w:val="auto"/>
        </w:rPr>
      </w:pPr>
      <w:r>
        <w:rPr>
          <w:rFonts w:hint="eastAsia"/>
          <w:color w:val="auto"/>
          <w:szCs w:val="22"/>
        </w:rPr>
        <w:t xml:space="preserve">[3] </w:t>
      </w:r>
      <w:r>
        <w:rPr>
          <w:rFonts w:hint="eastAsia"/>
          <w:color w:val="auto"/>
          <w:lang w:bidi="ar"/>
        </w:rPr>
        <w:t>DB33/T 2153—2018  同城配送体系建设规范</w:t>
      </w:r>
    </w:p>
    <w:p>
      <w:pPr>
        <w:pStyle w:val="25"/>
        <w:rPr>
          <w:color w:val="auto"/>
        </w:rPr>
      </w:pPr>
      <w:r>
        <w:rPr>
          <w:rFonts w:hint="eastAsia"/>
          <w:color w:val="auto"/>
          <w:szCs w:val="22"/>
        </w:rPr>
        <w:t xml:space="preserve">[4] </w:t>
      </w:r>
      <w:r>
        <w:rPr>
          <w:rFonts w:hint="eastAsia"/>
          <w:color w:val="auto"/>
          <w:lang w:bidi="ar"/>
        </w:rPr>
        <w:t>DB52/T 1050—2015  城市配送服务规范</w:t>
      </w:r>
    </w:p>
    <w:p>
      <w:pPr>
        <w:pStyle w:val="25"/>
        <w:rPr>
          <w:color w:val="auto"/>
        </w:rPr>
      </w:pPr>
      <w:r>
        <w:rPr>
          <w:rFonts w:hint="eastAsia"/>
          <w:color w:val="auto"/>
          <w:szCs w:val="22"/>
        </w:rPr>
        <w:t xml:space="preserve">[5] </w:t>
      </w:r>
      <w:r>
        <w:rPr>
          <w:rFonts w:hint="eastAsia"/>
          <w:color w:val="auto"/>
        </w:rPr>
        <w:t>DB62/T 4293</w:t>
      </w:r>
      <w:r>
        <w:rPr>
          <w:rFonts w:hint="eastAsia"/>
          <w:color w:val="auto"/>
          <w:lang w:bidi="ar"/>
        </w:rPr>
        <w:t>—</w:t>
      </w:r>
      <w:r>
        <w:rPr>
          <w:rFonts w:hint="eastAsia"/>
          <w:color w:val="auto"/>
        </w:rPr>
        <w:t>2021  商贸物流配送服务规范</w:t>
      </w:r>
    </w:p>
    <w:p>
      <w:pPr>
        <w:pStyle w:val="25"/>
        <w:rPr>
          <w:color w:val="auto"/>
        </w:rPr>
      </w:pPr>
    </w:p>
    <w:p>
      <w:pPr>
        <w:pStyle w:val="57"/>
        <w:spacing w:before="156" w:after="156"/>
        <w:ind w:left="0"/>
        <w:rPr>
          <w:color w:val="auto"/>
          <w:szCs w:val="22"/>
        </w:rPr>
      </w:pPr>
      <w:r>
        <w:rPr>
          <w:rFonts w:hint="eastAsia"/>
          <w:color w:val="auto"/>
        </w:rPr>
        <w:t xml:space="preserve">                                </w:t>
      </w:r>
      <w:r>
        <w:rPr>
          <w:rFonts w:hint="eastAsia"/>
          <w:color w:val="auto"/>
          <w:u w:val="single"/>
        </w:rPr>
        <w:t xml:space="preserve">                          </w:t>
      </w:r>
    </w:p>
    <w:p>
      <w:pPr>
        <w:pStyle w:val="57"/>
        <w:spacing w:before="156" w:after="156"/>
        <w:ind w:left="0"/>
        <w:rPr>
          <w:color w:val="auto"/>
          <w:szCs w:val="22"/>
        </w:rPr>
      </w:pPr>
    </w:p>
    <w:bookmarkEnd w:id="100"/>
    <w:bookmarkEnd w:id="101"/>
    <w:bookmarkEnd w:id="102"/>
    <w:bookmarkEnd w:id="103"/>
    <w:bookmarkEnd w:id="104"/>
    <w:bookmarkEnd w:id="105"/>
    <w:p>
      <w:pPr>
        <w:pStyle w:val="25"/>
        <w:ind w:firstLine="0" w:firstLineChars="0"/>
        <w:jc w:val="left"/>
        <w:rPr>
          <w:rFonts w:hAnsi="宋体"/>
          <w:color w:val="auto"/>
          <w:szCs w:val="21"/>
        </w:rPr>
      </w:pPr>
    </w:p>
    <w:p>
      <w:pPr>
        <w:rPr>
          <w:color w:val="auto"/>
        </w:rPr>
      </w:pPr>
    </w:p>
    <w:sectPr>
      <w:pgSz w:w="11906" w:h="16838"/>
      <w:pgMar w:top="567" w:right="1134" w:bottom="1134" w:left="1418" w:header="1418" w:footer="907"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Bell MT">
    <w:altName w:val="PMingLiU-ExtB"/>
    <w:panose1 w:val="02020503060305020303"/>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方正书宋_GBK">
    <w:altName w:val="微软雅黑"/>
    <w:panose1 w:val="02000000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DejaVu Math TeX Gyre">
    <w:altName w:val="Corbel"/>
    <w:panose1 w:val="02000503000000000000"/>
    <w:charset w:val="00"/>
    <w:family w:val="auto"/>
    <w:pitch w:val="default"/>
    <w:sig w:usb0="00000000" w:usb1="00000000" w:usb2="02000000" w:usb3="00000000" w:csb0="60000193" w:csb1="0DD40000"/>
  </w:font>
  <w:font w:name="DejaVu Sans">
    <w:altName w:val="Segoe Print"/>
    <w:panose1 w:val="020B0603030804020204"/>
    <w:charset w:val="00"/>
    <w:family w:val="auto"/>
    <w:pitch w:val="default"/>
    <w:sig w:usb0="00000000" w:usb1="00000000" w:usb2="0A246029" w:usb3="0400200C" w:csb0="600001FF" w:csb1="DFFF0000"/>
  </w:font>
  <w:font w:name="FreeSerif">
    <w:altName w:val="Segoe Print"/>
    <w:panose1 w:val="02020603050405020304"/>
    <w:charset w:val="00"/>
    <w:family w:val="auto"/>
    <w:pitch w:val="default"/>
    <w:sig w:usb0="00000000" w:usb1="00000000" w:usb2="43501B29" w:usb3="04000043" w:csb0="600101FF" w:csb1="FFFF0000"/>
  </w:font>
  <w:font w:name="Arial">
    <w:panose1 w:val="020B0604020202020204"/>
    <w:charset w:val="00"/>
    <w:family w:val="auto"/>
    <w:pitch w:val="default"/>
    <w:sig w:usb0="E0002EFF" w:usb1="C000785B" w:usb2="00000009" w:usb3="00000000" w:csb0="400001FF" w:csb1="FFFF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260985" cy="224155"/>
              <wp:effectExtent l="0" t="3810" r="0" b="63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60985" cy="224155"/>
                      </a:xfrm>
                      <a:prstGeom prst="rect">
                        <a:avLst/>
                      </a:prstGeom>
                      <a:noFill/>
                      <a:ln>
                        <a:noFill/>
                      </a:ln>
                    </wps:spPr>
                    <wps:txbx>
                      <w:txbxContent>
                        <w:p>
                          <w:pPr>
                            <w:pStyle w:val="70"/>
                            <w:jc w:val="center"/>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top:0pt;height:17.65pt;width:20.55pt;mso-position-horizontal:center;mso-position-horizontal-relative:margin;z-index:251657216;mso-width-relative:page;mso-height-relative:page;" filled="f" stroked="f" coordsize="21600,21600" o:gfxdata="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vSQ2DTAAAAAwEAAA8AAAAAAAAAAQAgAAAAIgAAAGRycy9kb3ducmV2LnhtbFBLAQIUABQAAAAI&#10;AIdO4kBZRxoZ8gEAALYDAAAOAAAAAAAAAAEAIAAAACIBAABkcnMvZTJvRG9jLnhtbFBLBQYAAAAA&#10;BgAGAFkBAACGBQAAAAA=&#10;">
              <v:fill on="f" focussize="0,0"/>
              <v:stroke on="f"/>
              <v:imagedata o:title=""/>
              <o:lock v:ext="edit" aspectratio="f"/>
              <v:textbox inset="0mm,0mm,0mm,0mm" style="mso-fit-shape-to-text:t;">
                <w:txbxContent>
                  <w:p>
                    <w:pPr>
                      <w:pStyle w:val="70"/>
                      <w:jc w:val="center"/>
                    </w:pPr>
                    <w:r>
                      <w:rPr>
                        <w:rFonts w:hint="eastAsia"/>
                      </w:rPr>
                      <w:fldChar w:fldCharType="begin"/>
                    </w:r>
                    <w:r>
                      <w:rPr>
                        <w:rFonts w:hint="eastAsia"/>
                      </w:rPr>
                      <w:instrText xml:space="preserve"> PAGE  \* MERGEFORMAT </w:instrText>
                    </w:r>
                    <w:r>
                      <w:rPr>
                        <w:rFonts w:hint="eastAsia"/>
                      </w:rPr>
                      <w:fldChar w:fldCharType="separate"/>
                    </w:r>
                    <w:r>
                      <w:t>II</w:t>
                    </w:r>
                    <w:r>
                      <w:rPr>
                        <w:rFonts w:hint="eastAsia"/>
                      </w:rPr>
                      <w:fldChar w:fldCharType="end"/>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0</wp:posOffset>
              </wp:positionV>
              <wp:extent cx="240665" cy="448945"/>
              <wp:effectExtent l="0" t="3810" r="1905" b="444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0665" cy="448945"/>
                      </a:xfrm>
                      <a:prstGeom prst="rect">
                        <a:avLst/>
                      </a:prstGeom>
                      <a:noFill/>
                      <a:ln>
                        <a:noFill/>
                      </a:ln>
                    </wps:spPr>
                    <wps:txbx>
                      <w:txbxContent>
                        <w:p>
                          <w:pPr>
                            <w:pStyle w:val="70"/>
                          </w:pPr>
                        </w:p>
                        <w:p>
                          <w:pPr>
                            <w:pStyle w:val="70"/>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0pt;margin-top:0pt;height:35.35pt;width:18.95pt;mso-position-horizontal-relative:margin;mso-wrap-style:none;z-index:251656192;mso-width-relative:page;mso-height-relative:page;" filled="f" stroked="f" coordsize="21600,21600" o:gfxdata="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fHXbJ&#10;0AAAAAMBAAAPAAAAAAAAAAEAIAAAACIAAABkcnMvZG93bnJldi54bWxQSwECFAAUAAAACACHTuJA&#10;e1NpnPABAAC0AwAADgAAAAAAAAABACAAAAAfAQAAZHJzL2Uyb0RvYy54bWxQSwUGAAAAAAYABgBZ&#10;AQAAgQUAAAAA&#10;">
              <v:fill on="f" focussize="0,0"/>
              <v:stroke on="f"/>
              <v:imagedata o:title=""/>
              <o:lock v:ext="edit" aspectratio="f"/>
              <v:textbox inset="0mm,0mm,0mm,0mm" style="mso-fit-shape-to-text:t;">
                <w:txbxContent>
                  <w:p>
                    <w:pPr>
                      <w:pStyle w:val="70"/>
                    </w:pPr>
                  </w:p>
                  <w:p>
                    <w:pPr>
                      <w:pStyle w:val="7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3515" cy="224155"/>
              <wp:effectExtent l="0" t="0" r="635" b="0"/>
              <wp:wrapNone/>
              <wp:docPr id="4"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83515" cy="224155"/>
                      </a:xfrm>
                      <a:prstGeom prst="rect">
                        <a:avLst/>
                      </a:prstGeom>
                      <a:noFill/>
                      <a:ln>
                        <a:noFill/>
                      </a:ln>
                    </wps:spPr>
                    <wps:txbx>
                      <w:txbxContent>
                        <w:p>
                          <w:pPr>
                            <w:pStyle w:val="70"/>
                          </w:pPr>
                          <w:r>
                            <w:fldChar w:fldCharType="begin"/>
                          </w:r>
                          <w:r>
                            <w:instrText xml:space="preserve"> PAGE  \* MERGEFORMAT </w:instrText>
                          </w:r>
                          <w:r>
                            <w:fldChar w:fldCharType="separate"/>
                          </w:r>
                          <w:r>
                            <w:t>4</w:t>
                          </w:r>
                          <w: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7.65pt;width:14.45pt;mso-position-horizontal:center;mso-position-horizontal-relative:margin;mso-wrap-style:none;z-index:251658240;mso-width-relative:page;mso-height-relative:page;" filled="f" stroked="f" coordsize="21600,21600" o:gfxdata="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gbM&#10;c9IAAAADAQAADwAAAAAAAAABACAAAAAiAAAAZHJzL2Rvd25yZXYueG1sUEsBAhQAFAAAAAgAh07i&#10;QAY8FIzvAQAAtAMAAA4AAAAAAAAAAQAgAAAAIQEAAGRycy9lMm9Eb2MueG1sUEsFBgAAAAAGAAYA&#10;WQEAAIIFAAAAAA==&#10;">
              <v:fill on="f" focussize="0,0"/>
              <v:stroke on="f"/>
              <v:imagedata o:title=""/>
              <o:lock v:ext="edit" aspectratio="f"/>
              <v:textbox inset="0mm,0mm,0mm,0mm" style="mso-fit-shape-to-text:t;">
                <w:txbxContent>
                  <w:p>
                    <w:pPr>
                      <w:pStyle w:val="70"/>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6"/>
    </w:pPr>
    <w:r>
      <w:t xml:space="preserve">SB/T </w:t>
    </w:r>
    <w:r>
      <w:rPr>
        <w:rFonts w:hint="eastAsia"/>
      </w:rPr>
      <w:t>XXXXX</w:t>
    </w:r>
    <w:r>
      <w:t>—</w:t>
    </w:r>
    <w:r>
      <w:rPr>
        <w:rFonts w:hint="eastAsia"/>
      </w:rPr>
      <w:t>202</w:t>
    </w:r>
    <w:r>
      <w:rPr>
        <w:rFonts w:hint="eastAsia"/>
        <w:lang w:val="en-US"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BC0032"/>
    <w:multiLevelType w:val="singleLevel"/>
    <w:tmpl w:val="9CBC0032"/>
    <w:lvl w:ilvl="0" w:tentative="0">
      <w:start w:val="1"/>
      <w:numFmt w:val="lowerLetter"/>
      <w:suff w:val="space"/>
      <w:lvlText w:val="%1)"/>
      <w:lvlJc w:val="left"/>
    </w:lvl>
  </w:abstractNum>
  <w:abstractNum w:abstractNumId="1">
    <w:nsid w:val="9F93CC3A"/>
    <w:multiLevelType w:val="singleLevel"/>
    <w:tmpl w:val="9F93CC3A"/>
    <w:lvl w:ilvl="0" w:tentative="0">
      <w:start w:val="1"/>
      <w:numFmt w:val="lowerLetter"/>
      <w:suff w:val="space"/>
      <w:lvlText w:val="%1)"/>
      <w:lvlJc w:val="left"/>
    </w:lvl>
  </w:abstractNum>
  <w:abstractNum w:abstractNumId="2">
    <w:nsid w:val="BE98D5EE"/>
    <w:multiLevelType w:val="singleLevel"/>
    <w:tmpl w:val="BE98D5EE"/>
    <w:lvl w:ilvl="0" w:tentative="0">
      <w:start w:val="1"/>
      <w:numFmt w:val="lowerLetter"/>
      <w:suff w:val="space"/>
      <w:lvlText w:val="%1)"/>
      <w:lvlJc w:val="left"/>
    </w:lvl>
  </w:abstractNum>
  <w:abstractNum w:abstractNumId="3">
    <w:nsid w:val="E8096AC6"/>
    <w:multiLevelType w:val="singleLevel"/>
    <w:tmpl w:val="E8096AC6"/>
    <w:lvl w:ilvl="0" w:tentative="0">
      <w:start w:val="1"/>
      <w:numFmt w:val="lowerLetter"/>
      <w:suff w:val="space"/>
      <w:lvlText w:val="%1)"/>
      <w:lvlJc w:val="left"/>
    </w:lvl>
  </w:abstractNum>
  <w:abstractNum w:abstractNumId="4">
    <w:nsid w:val="06ADCA87"/>
    <w:multiLevelType w:val="singleLevel"/>
    <w:tmpl w:val="06ADCA87"/>
    <w:lvl w:ilvl="0" w:tentative="0">
      <w:start w:val="1"/>
      <w:numFmt w:val="lowerLetter"/>
      <w:suff w:val="space"/>
      <w:lvlText w:val="%1)"/>
      <w:lvlJc w:val="left"/>
    </w:lvl>
  </w:abstractNum>
  <w:abstractNum w:abstractNumId="5">
    <w:nsid w:val="079102AD"/>
    <w:multiLevelType w:val="multilevel"/>
    <w:tmpl w:val="079102AD"/>
    <w:lvl w:ilvl="0" w:tentative="0">
      <w:start w:val="1"/>
      <w:numFmt w:val="decimal"/>
      <w:pStyle w:val="141"/>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93C6778"/>
    <w:multiLevelType w:val="multilevel"/>
    <w:tmpl w:val="093C6778"/>
    <w:lvl w:ilvl="0" w:tentative="0">
      <w:start w:val="1"/>
      <w:numFmt w:val="decimal"/>
      <w:pStyle w:val="13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AE367E9"/>
    <w:multiLevelType w:val="multilevel"/>
    <w:tmpl w:val="0AE367E9"/>
    <w:lvl w:ilvl="0" w:tentative="0">
      <w:start w:val="1"/>
      <w:numFmt w:val="none"/>
      <w:pStyle w:val="13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DDE2B46"/>
    <w:multiLevelType w:val="multilevel"/>
    <w:tmpl w:val="0DDE2B46"/>
    <w:lvl w:ilvl="0" w:tentative="0">
      <w:start w:val="1"/>
      <w:numFmt w:val="lowerLetter"/>
      <w:pStyle w:val="10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9">
    <w:nsid w:val="1DBF583A"/>
    <w:multiLevelType w:val="multilevel"/>
    <w:tmpl w:val="1DBF583A"/>
    <w:lvl w:ilvl="0" w:tentative="0">
      <w:start w:val="1"/>
      <w:numFmt w:val="decimal"/>
      <w:pStyle w:val="10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0">
    <w:nsid w:val="1FC91163"/>
    <w:multiLevelType w:val="multilevel"/>
    <w:tmpl w:val="1FC91163"/>
    <w:lvl w:ilvl="0" w:tentative="0">
      <w:start w:val="1"/>
      <w:numFmt w:val="decimal"/>
      <w:pStyle w:val="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8"/>
      <w:suff w:val="nothing"/>
      <w:lvlText w:val="%1.%2　"/>
      <w:lvlJc w:val="left"/>
      <w:rPr>
        <w:rFonts w:hint="eastAsia" w:ascii="黑体" w:hAnsi="Times New Roman" w:eastAsia="黑体" w:cs="Times New Roman"/>
        <w:b w:val="0"/>
        <w:bCs w:val="0"/>
        <w:i w:val="0"/>
        <w:iCs w:val="0"/>
        <w:caps w:val="0"/>
        <w:strike w:val="0"/>
        <w:dstrike w:val="0"/>
        <w:vanish w:val="0"/>
        <w:color w:val="auto"/>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284" w:firstLine="0"/>
      </w:pPr>
      <w:rPr>
        <w:rFonts w:hint="eastAsia" w:ascii="黑体" w:hAnsi="Times New Roman" w:eastAsia="黑体"/>
        <w:b w:val="0"/>
        <w:i w:val="0"/>
        <w:color w:val="auto"/>
        <w:sz w:val="21"/>
      </w:rPr>
    </w:lvl>
    <w:lvl w:ilvl="3" w:tentative="0">
      <w:start w:val="1"/>
      <w:numFmt w:val="decimal"/>
      <w:pStyle w:val="56"/>
      <w:suff w:val="nothing"/>
      <w:lvlText w:val="%1.%2.%3.%4　"/>
      <w:lvlJc w:val="left"/>
      <w:pPr>
        <w:ind w:left="0" w:firstLine="0"/>
      </w:pPr>
      <w:rPr>
        <w:rFonts w:hint="eastAsia" w:ascii="黑体" w:hAnsi="Times New Roman" w:eastAsia="黑体"/>
        <w:b w:val="0"/>
        <w:i w:val="0"/>
        <w:sz w:val="21"/>
      </w:rPr>
    </w:lvl>
    <w:lvl w:ilvl="4" w:tentative="0">
      <w:start w:val="1"/>
      <w:numFmt w:val="decimal"/>
      <w:pStyle w:val="55"/>
      <w:suff w:val="nothing"/>
      <w:lvlText w:val="%1.%2.%3.%4.%5　"/>
      <w:lvlJc w:val="left"/>
      <w:pPr>
        <w:ind w:left="851" w:firstLine="0"/>
      </w:pPr>
      <w:rPr>
        <w:rFonts w:hint="eastAsia" w:ascii="黑体" w:hAnsi="Times New Roman" w:eastAsia="黑体"/>
        <w:b w:val="0"/>
        <w:i w:val="0"/>
        <w:sz w:val="21"/>
      </w:rPr>
    </w:lvl>
    <w:lvl w:ilvl="5" w:tentative="0">
      <w:start w:val="1"/>
      <w:numFmt w:val="decimal"/>
      <w:pStyle w:val="5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A8F7113"/>
    <w:multiLevelType w:val="multilevel"/>
    <w:tmpl w:val="2A8F7113"/>
    <w:lvl w:ilvl="0" w:tentative="0">
      <w:start w:val="1"/>
      <w:numFmt w:val="upperLetter"/>
      <w:pStyle w:val="128"/>
      <w:suff w:val="space"/>
      <w:lvlText w:val="%1"/>
      <w:lvlJc w:val="left"/>
      <w:pPr>
        <w:ind w:left="623" w:hanging="425"/>
      </w:pPr>
      <w:rPr>
        <w:rFonts w:hint="eastAsia"/>
      </w:rPr>
    </w:lvl>
    <w:lvl w:ilvl="1" w:tentative="0">
      <w:start w:val="1"/>
      <w:numFmt w:val="decimal"/>
      <w:pStyle w:val="119"/>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2">
    <w:nsid w:val="2C5917C3"/>
    <w:multiLevelType w:val="multilevel"/>
    <w:tmpl w:val="2C5917C3"/>
    <w:lvl w:ilvl="0" w:tentative="0">
      <w:start w:val="1"/>
      <w:numFmt w:val="none"/>
      <w:pStyle w:val="87"/>
      <w:suff w:val="nothing"/>
      <w:lvlText w:val="%1——"/>
      <w:lvlJc w:val="left"/>
      <w:pPr>
        <w:ind w:left="833" w:hanging="408"/>
      </w:pPr>
      <w:rPr>
        <w:rFonts w:hint="eastAsia"/>
      </w:rPr>
    </w:lvl>
    <w:lvl w:ilvl="1" w:tentative="0">
      <w:start w:val="1"/>
      <w:numFmt w:val="bullet"/>
      <w:pStyle w:val="66"/>
      <w:lvlText w:val=""/>
      <w:lvlJc w:val="left"/>
      <w:pPr>
        <w:tabs>
          <w:tab w:val="left" w:pos="760"/>
        </w:tabs>
        <w:ind w:left="1264" w:hanging="413"/>
      </w:pPr>
      <w:rPr>
        <w:rFonts w:hint="default" w:ascii="Symbol" w:hAnsi="Symbol"/>
        <w:color w:val="auto"/>
      </w:rPr>
    </w:lvl>
    <w:lvl w:ilvl="2" w:tentative="0">
      <w:start w:val="1"/>
      <w:numFmt w:val="bullet"/>
      <w:pStyle w:val="7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4">
    <w:nsid w:val="44C50F90"/>
    <w:multiLevelType w:val="multilevel"/>
    <w:tmpl w:val="44C50F90"/>
    <w:lvl w:ilvl="0" w:tentative="0">
      <w:start w:val="1"/>
      <w:numFmt w:val="lowerLetter"/>
      <w:pStyle w:val="89"/>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5"/>
      <w:lvlText w:val="%2)"/>
      <w:lvlJc w:val="left"/>
      <w:pPr>
        <w:tabs>
          <w:tab w:val="left" w:pos="1260"/>
        </w:tabs>
        <w:ind w:left="1259" w:hanging="419"/>
      </w:pPr>
      <w:rPr>
        <w:rFonts w:hint="eastAsia"/>
      </w:rPr>
    </w:lvl>
    <w:lvl w:ilvl="2" w:tentative="0">
      <w:start w:val="1"/>
      <w:numFmt w:val="decimal"/>
      <w:pStyle w:val="4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78356C3"/>
    <w:multiLevelType w:val="singleLevel"/>
    <w:tmpl w:val="478356C3"/>
    <w:lvl w:ilvl="0" w:tentative="0">
      <w:start w:val="1"/>
      <w:numFmt w:val="lowerLetter"/>
      <w:suff w:val="space"/>
      <w:lvlText w:val="%1)"/>
      <w:lvlJc w:val="left"/>
    </w:lvl>
  </w:abstractNum>
  <w:abstractNum w:abstractNumId="16">
    <w:nsid w:val="4B733A5F"/>
    <w:multiLevelType w:val="multilevel"/>
    <w:tmpl w:val="4B733A5F"/>
    <w:lvl w:ilvl="0" w:tentative="0">
      <w:start w:val="1"/>
      <w:numFmt w:val="decimal"/>
      <w:pStyle w:val="14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7">
    <w:nsid w:val="557C2AF5"/>
    <w:multiLevelType w:val="multilevel"/>
    <w:tmpl w:val="557C2AF5"/>
    <w:lvl w:ilvl="0" w:tentative="0">
      <w:start w:val="1"/>
      <w:numFmt w:val="decimal"/>
      <w:pStyle w:val="75"/>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60B55DC2"/>
    <w:multiLevelType w:val="multilevel"/>
    <w:tmpl w:val="60B55DC2"/>
    <w:lvl w:ilvl="0" w:tentative="0">
      <w:start w:val="1"/>
      <w:numFmt w:val="upperLetter"/>
      <w:pStyle w:val="65"/>
      <w:lvlText w:val="%1"/>
      <w:lvlJc w:val="left"/>
      <w:pPr>
        <w:tabs>
          <w:tab w:val="left" w:pos="0"/>
        </w:tabs>
        <w:ind w:left="0" w:hanging="425"/>
      </w:pPr>
      <w:rPr>
        <w:rFonts w:hint="eastAsia"/>
      </w:rPr>
    </w:lvl>
    <w:lvl w:ilvl="1" w:tentative="0">
      <w:start w:val="1"/>
      <w:numFmt w:val="decimal"/>
      <w:pStyle w:val="132"/>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9">
    <w:nsid w:val="646260FA"/>
    <w:multiLevelType w:val="multilevel"/>
    <w:tmpl w:val="646260FA"/>
    <w:lvl w:ilvl="0" w:tentative="0">
      <w:start w:val="1"/>
      <w:numFmt w:val="decimal"/>
      <w:pStyle w:val="5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657D3FBC"/>
    <w:multiLevelType w:val="multilevel"/>
    <w:tmpl w:val="657D3FBC"/>
    <w:lvl w:ilvl="0" w:tentative="0">
      <w:start w:val="1"/>
      <w:numFmt w:val="upperLetter"/>
      <w:pStyle w:val="9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43"/>
      <w:suff w:val="nothing"/>
      <w:lvlText w:val="%1.%2.%3.%4　"/>
      <w:lvlJc w:val="left"/>
      <w:pPr>
        <w:ind w:left="0" w:firstLine="0"/>
      </w:pPr>
      <w:rPr>
        <w:rFonts w:hint="eastAsia" w:ascii="黑体" w:hAnsi="Times New Roman" w:eastAsia="黑体"/>
        <w:b w:val="0"/>
        <w:i w:val="0"/>
        <w:sz w:val="21"/>
      </w:rPr>
    </w:lvl>
    <w:lvl w:ilvl="4" w:tentative="0">
      <w:start w:val="1"/>
      <w:numFmt w:val="decimal"/>
      <w:pStyle w:val="73"/>
      <w:suff w:val="nothing"/>
      <w:lvlText w:val="%1.%2.%3.%4.%5　"/>
      <w:lvlJc w:val="left"/>
      <w:pPr>
        <w:ind w:left="0" w:firstLine="0"/>
      </w:pPr>
      <w:rPr>
        <w:rFonts w:hint="eastAsia" w:ascii="黑体" w:hAnsi="Times New Roman" w:eastAsia="黑体"/>
        <w:b w:val="0"/>
        <w:i w:val="0"/>
        <w:sz w:val="21"/>
      </w:rPr>
    </w:lvl>
    <w:lvl w:ilvl="5" w:tentative="0">
      <w:start w:val="1"/>
      <w:numFmt w:val="decimal"/>
      <w:pStyle w:val="7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1">
    <w:nsid w:val="6C5B8DAA"/>
    <w:multiLevelType w:val="singleLevel"/>
    <w:tmpl w:val="6C5B8DAA"/>
    <w:lvl w:ilvl="0" w:tentative="0">
      <w:start w:val="1"/>
      <w:numFmt w:val="lowerLetter"/>
      <w:suff w:val="space"/>
      <w:lvlText w:val="%1)"/>
      <w:lvlJc w:val="left"/>
    </w:lvl>
  </w:abstractNum>
  <w:abstractNum w:abstractNumId="2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45"/>
      <w:suff w:val="nothing"/>
      <w:lvlText w:val="%1%2　"/>
      <w:lvlJc w:val="left"/>
      <w:pPr>
        <w:ind w:left="0" w:firstLine="0"/>
      </w:pPr>
      <w:rPr>
        <w:rFonts w:hint="eastAsia" w:ascii="黑体" w:eastAsia="黑体"/>
        <w:b w:val="0"/>
        <w:i w:val="0"/>
        <w:sz w:val="21"/>
      </w:rPr>
    </w:lvl>
    <w:lvl w:ilvl="2" w:tentative="0">
      <w:start w:val="1"/>
      <w:numFmt w:val="decimal"/>
      <w:pStyle w:val="44"/>
      <w:suff w:val="nothing"/>
      <w:lvlText w:val="%1%2.%3　"/>
      <w:lvlJc w:val="left"/>
      <w:pPr>
        <w:ind w:left="1418"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15"/>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3">
    <w:nsid w:val="6D6C07CD"/>
    <w:multiLevelType w:val="multilevel"/>
    <w:tmpl w:val="6D6C07CD"/>
    <w:lvl w:ilvl="0" w:tentative="0">
      <w:start w:val="1"/>
      <w:numFmt w:val="lowerLetter"/>
      <w:pStyle w:val="114"/>
      <w:lvlText w:val="%1)"/>
      <w:lvlJc w:val="left"/>
      <w:pPr>
        <w:tabs>
          <w:tab w:val="left" w:pos="839"/>
        </w:tabs>
        <w:ind w:left="839" w:hanging="419"/>
      </w:pPr>
      <w:rPr>
        <w:rFonts w:hint="eastAsia" w:ascii="宋体" w:eastAsia="宋体"/>
        <w:b w:val="0"/>
        <w:i w:val="0"/>
        <w:sz w:val="21"/>
      </w:rPr>
    </w:lvl>
    <w:lvl w:ilvl="1" w:tentative="0">
      <w:start w:val="1"/>
      <w:numFmt w:val="decimal"/>
      <w:pStyle w:val="10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4">
    <w:nsid w:val="7E942CDA"/>
    <w:multiLevelType w:val="singleLevel"/>
    <w:tmpl w:val="7E942CDA"/>
    <w:lvl w:ilvl="0" w:tentative="0">
      <w:start w:val="1"/>
      <w:numFmt w:val="lowerLetter"/>
      <w:suff w:val="space"/>
      <w:lvlText w:val="%1)"/>
      <w:lvlJc w:val="left"/>
    </w:lvl>
  </w:abstractNum>
  <w:num w:numId="1">
    <w:abstractNumId w:val="13"/>
  </w:num>
  <w:num w:numId="2">
    <w:abstractNumId w:val="20"/>
  </w:num>
  <w:num w:numId="3">
    <w:abstractNumId w:val="22"/>
  </w:num>
  <w:num w:numId="4">
    <w:abstractNumId w:val="14"/>
  </w:num>
  <w:num w:numId="5">
    <w:abstractNumId w:val="19"/>
  </w:num>
  <w:num w:numId="6">
    <w:abstractNumId w:val="10"/>
  </w:num>
  <w:num w:numId="7">
    <w:abstractNumId w:val="18"/>
  </w:num>
  <w:num w:numId="8">
    <w:abstractNumId w:val="12"/>
  </w:num>
  <w:num w:numId="9">
    <w:abstractNumId w:val="17"/>
  </w:num>
  <w:num w:numId="10">
    <w:abstractNumId w:val="9"/>
  </w:num>
  <w:num w:numId="11">
    <w:abstractNumId w:val="23"/>
  </w:num>
  <w:num w:numId="12">
    <w:abstractNumId w:val="8"/>
  </w:num>
  <w:num w:numId="13">
    <w:abstractNumId w:val="11"/>
  </w:num>
  <w:num w:numId="14">
    <w:abstractNumId w:val="6"/>
  </w:num>
  <w:num w:numId="15">
    <w:abstractNumId w:val="7"/>
  </w:num>
  <w:num w:numId="16">
    <w:abstractNumId w:val="5"/>
  </w:num>
  <w:num w:numId="17">
    <w:abstractNumId w:val="16"/>
  </w:num>
  <w:num w:numId="18">
    <w:abstractNumId w:val="21"/>
  </w:num>
  <w:num w:numId="19">
    <w:abstractNumId w:val="15"/>
  </w:num>
  <w:num w:numId="20">
    <w:abstractNumId w:val="3"/>
  </w:num>
  <w:num w:numId="21">
    <w:abstractNumId w:val="24"/>
  </w:num>
  <w:num w:numId="22">
    <w:abstractNumId w:val="2"/>
  </w:num>
  <w:num w:numId="23">
    <w:abstractNumId w:val="4"/>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395"/>
    <w:rsid w:val="00000244"/>
    <w:rsid w:val="0000185F"/>
    <w:rsid w:val="0000331F"/>
    <w:rsid w:val="00004A3A"/>
    <w:rsid w:val="0000586F"/>
    <w:rsid w:val="00013D86"/>
    <w:rsid w:val="00013E02"/>
    <w:rsid w:val="00017E37"/>
    <w:rsid w:val="0002143C"/>
    <w:rsid w:val="0002146B"/>
    <w:rsid w:val="00025A65"/>
    <w:rsid w:val="00026C31"/>
    <w:rsid w:val="00027280"/>
    <w:rsid w:val="00031C2B"/>
    <w:rsid w:val="000320A7"/>
    <w:rsid w:val="00035925"/>
    <w:rsid w:val="00044D5B"/>
    <w:rsid w:val="00046E75"/>
    <w:rsid w:val="000555D9"/>
    <w:rsid w:val="00060D65"/>
    <w:rsid w:val="000626A7"/>
    <w:rsid w:val="000663B1"/>
    <w:rsid w:val="00067CDF"/>
    <w:rsid w:val="0007067D"/>
    <w:rsid w:val="00072AA4"/>
    <w:rsid w:val="00074FBE"/>
    <w:rsid w:val="000759B2"/>
    <w:rsid w:val="00080F47"/>
    <w:rsid w:val="00083A09"/>
    <w:rsid w:val="00086671"/>
    <w:rsid w:val="00087550"/>
    <w:rsid w:val="000876CF"/>
    <w:rsid w:val="0009005E"/>
    <w:rsid w:val="00092857"/>
    <w:rsid w:val="000963FF"/>
    <w:rsid w:val="000A20A9"/>
    <w:rsid w:val="000A35AA"/>
    <w:rsid w:val="000A48B1"/>
    <w:rsid w:val="000A6F37"/>
    <w:rsid w:val="000B079F"/>
    <w:rsid w:val="000B16A9"/>
    <w:rsid w:val="000B3143"/>
    <w:rsid w:val="000B56A6"/>
    <w:rsid w:val="000C1792"/>
    <w:rsid w:val="000C3531"/>
    <w:rsid w:val="000C6B05"/>
    <w:rsid w:val="000C6DD6"/>
    <w:rsid w:val="000C73D4"/>
    <w:rsid w:val="000C7E3D"/>
    <w:rsid w:val="000D105A"/>
    <w:rsid w:val="000D16ED"/>
    <w:rsid w:val="000D3D4C"/>
    <w:rsid w:val="000D4F51"/>
    <w:rsid w:val="000D718B"/>
    <w:rsid w:val="000E0C46"/>
    <w:rsid w:val="000E1E4A"/>
    <w:rsid w:val="000E627E"/>
    <w:rsid w:val="000F030C"/>
    <w:rsid w:val="000F129C"/>
    <w:rsid w:val="000F62FB"/>
    <w:rsid w:val="00103D1B"/>
    <w:rsid w:val="001040AD"/>
    <w:rsid w:val="001056DE"/>
    <w:rsid w:val="001061CA"/>
    <w:rsid w:val="001124C0"/>
    <w:rsid w:val="00112EAE"/>
    <w:rsid w:val="00114CAB"/>
    <w:rsid w:val="001173BD"/>
    <w:rsid w:val="00117703"/>
    <w:rsid w:val="001229B5"/>
    <w:rsid w:val="00123D6E"/>
    <w:rsid w:val="001310AF"/>
    <w:rsid w:val="001315A8"/>
    <w:rsid w:val="0013175F"/>
    <w:rsid w:val="001330F7"/>
    <w:rsid w:val="00134066"/>
    <w:rsid w:val="00134D16"/>
    <w:rsid w:val="00135ADB"/>
    <w:rsid w:val="00136C76"/>
    <w:rsid w:val="001425CC"/>
    <w:rsid w:val="00144A1D"/>
    <w:rsid w:val="001512B4"/>
    <w:rsid w:val="00154446"/>
    <w:rsid w:val="0015689A"/>
    <w:rsid w:val="001620A5"/>
    <w:rsid w:val="00164E53"/>
    <w:rsid w:val="0016699D"/>
    <w:rsid w:val="00170D76"/>
    <w:rsid w:val="001745DB"/>
    <w:rsid w:val="00175159"/>
    <w:rsid w:val="00176208"/>
    <w:rsid w:val="0018211B"/>
    <w:rsid w:val="001840D3"/>
    <w:rsid w:val="0018521F"/>
    <w:rsid w:val="001871FB"/>
    <w:rsid w:val="0018739E"/>
    <w:rsid w:val="0018741B"/>
    <w:rsid w:val="001900F8"/>
    <w:rsid w:val="001906CE"/>
    <w:rsid w:val="00191258"/>
    <w:rsid w:val="00192680"/>
    <w:rsid w:val="00193037"/>
    <w:rsid w:val="00193A2C"/>
    <w:rsid w:val="001950B2"/>
    <w:rsid w:val="001A288E"/>
    <w:rsid w:val="001A4C17"/>
    <w:rsid w:val="001A4D75"/>
    <w:rsid w:val="001A596A"/>
    <w:rsid w:val="001B0426"/>
    <w:rsid w:val="001B04F5"/>
    <w:rsid w:val="001B3F9C"/>
    <w:rsid w:val="001B60BB"/>
    <w:rsid w:val="001B6DC2"/>
    <w:rsid w:val="001C149C"/>
    <w:rsid w:val="001C21AC"/>
    <w:rsid w:val="001C3322"/>
    <w:rsid w:val="001C4554"/>
    <w:rsid w:val="001C47BA"/>
    <w:rsid w:val="001C59EA"/>
    <w:rsid w:val="001C70AC"/>
    <w:rsid w:val="001D26C9"/>
    <w:rsid w:val="001D3EE2"/>
    <w:rsid w:val="001D406C"/>
    <w:rsid w:val="001D41EE"/>
    <w:rsid w:val="001D54F1"/>
    <w:rsid w:val="001E0380"/>
    <w:rsid w:val="001E09F3"/>
    <w:rsid w:val="001E13B1"/>
    <w:rsid w:val="001E233D"/>
    <w:rsid w:val="001E28EF"/>
    <w:rsid w:val="001F20EA"/>
    <w:rsid w:val="001F3A19"/>
    <w:rsid w:val="001F4315"/>
    <w:rsid w:val="0020464B"/>
    <w:rsid w:val="0020491E"/>
    <w:rsid w:val="002133A8"/>
    <w:rsid w:val="0021702A"/>
    <w:rsid w:val="0021739C"/>
    <w:rsid w:val="002201F8"/>
    <w:rsid w:val="00222890"/>
    <w:rsid w:val="0022531F"/>
    <w:rsid w:val="00234467"/>
    <w:rsid w:val="00235F97"/>
    <w:rsid w:val="00237D8D"/>
    <w:rsid w:val="00241DA2"/>
    <w:rsid w:val="00243882"/>
    <w:rsid w:val="00247FEE"/>
    <w:rsid w:val="00250E7D"/>
    <w:rsid w:val="00253720"/>
    <w:rsid w:val="0025451C"/>
    <w:rsid w:val="002545B8"/>
    <w:rsid w:val="00254666"/>
    <w:rsid w:val="002565D5"/>
    <w:rsid w:val="0026197B"/>
    <w:rsid w:val="002622C0"/>
    <w:rsid w:val="00262A31"/>
    <w:rsid w:val="00263A29"/>
    <w:rsid w:val="00264D62"/>
    <w:rsid w:val="00264EE7"/>
    <w:rsid w:val="00273778"/>
    <w:rsid w:val="00275BBD"/>
    <w:rsid w:val="002778AE"/>
    <w:rsid w:val="00277BB9"/>
    <w:rsid w:val="0028269A"/>
    <w:rsid w:val="00283590"/>
    <w:rsid w:val="00285153"/>
    <w:rsid w:val="00286973"/>
    <w:rsid w:val="00291DC7"/>
    <w:rsid w:val="00292AC6"/>
    <w:rsid w:val="00294E70"/>
    <w:rsid w:val="002955A1"/>
    <w:rsid w:val="002977D5"/>
    <w:rsid w:val="002A1924"/>
    <w:rsid w:val="002A3C42"/>
    <w:rsid w:val="002A44FC"/>
    <w:rsid w:val="002A7420"/>
    <w:rsid w:val="002A77A6"/>
    <w:rsid w:val="002B0356"/>
    <w:rsid w:val="002B0F12"/>
    <w:rsid w:val="002B1308"/>
    <w:rsid w:val="002B4554"/>
    <w:rsid w:val="002C3445"/>
    <w:rsid w:val="002C72D8"/>
    <w:rsid w:val="002D11FA"/>
    <w:rsid w:val="002D6517"/>
    <w:rsid w:val="002E0DDF"/>
    <w:rsid w:val="002E1DA3"/>
    <w:rsid w:val="002E2173"/>
    <w:rsid w:val="002E2906"/>
    <w:rsid w:val="002E5635"/>
    <w:rsid w:val="002E64C3"/>
    <w:rsid w:val="002E6A2C"/>
    <w:rsid w:val="002E7E94"/>
    <w:rsid w:val="002F135D"/>
    <w:rsid w:val="002F1D8C"/>
    <w:rsid w:val="002F21DA"/>
    <w:rsid w:val="00301F39"/>
    <w:rsid w:val="00307C0F"/>
    <w:rsid w:val="00311B10"/>
    <w:rsid w:val="00316B62"/>
    <w:rsid w:val="00320A1E"/>
    <w:rsid w:val="003220EF"/>
    <w:rsid w:val="00325926"/>
    <w:rsid w:val="00327A8A"/>
    <w:rsid w:val="00333F95"/>
    <w:rsid w:val="00336610"/>
    <w:rsid w:val="00337DC6"/>
    <w:rsid w:val="0034201A"/>
    <w:rsid w:val="00342BE4"/>
    <w:rsid w:val="00343F73"/>
    <w:rsid w:val="00345060"/>
    <w:rsid w:val="00346FAD"/>
    <w:rsid w:val="003476E0"/>
    <w:rsid w:val="00350BC1"/>
    <w:rsid w:val="00352992"/>
    <w:rsid w:val="0035323B"/>
    <w:rsid w:val="00357ECA"/>
    <w:rsid w:val="00357EFE"/>
    <w:rsid w:val="00360641"/>
    <w:rsid w:val="003609D2"/>
    <w:rsid w:val="00362F20"/>
    <w:rsid w:val="00363F22"/>
    <w:rsid w:val="00364B99"/>
    <w:rsid w:val="00373472"/>
    <w:rsid w:val="0037458C"/>
    <w:rsid w:val="00375564"/>
    <w:rsid w:val="00377B73"/>
    <w:rsid w:val="00381182"/>
    <w:rsid w:val="00383191"/>
    <w:rsid w:val="00386DED"/>
    <w:rsid w:val="0039061E"/>
    <w:rsid w:val="003912E7"/>
    <w:rsid w:val="00392682"/>
    <w:rsid w:val="00393737"/>
    <w:rsid w:val="00393947"/>
    <w:rsid w:val="00394A53"/>
    <w:rsid w:val="00394BF1"/>
    <w:rsid w:val="00397A2D"/>
    <w:rsid w:val="003A2275"/>
    <w:rsid w:val="003A6A4F"/>
    <w:rsid w:val="003A7088"/>
    <w:rsid w:val="003B00DF"/>
    <w:rsid w:val="003B1275"/>
    <w:rsid w:val="003B1778"/>
    <w:rsid w:val="003B75A6"/>
    <w:rsid w:val="003B7FB2"/>
    <w:rsid w:val="003C11CB"/>
    <w:rsid w:val="003C3205"/>
    <w:rsid w:val="003C6791"/>
    <w:rsid w:val="003C751C"/>
    <w:rsid w:val="003C75F3"/>
    <w:rsid w:val="003C78A3"/>
    <w:rsid w:val="003D1228"/>
    <w:rsid w:val="003D5B4D"/>
    <w:rsid w:val="003E0AB9"/>
    <w:rsid w:val="003E1867"/>
    <w:rsid w:val="003E18AD"/>
    <w:rsid w:val="003E2096"/>
    <w:rsid w:val="003E5729"/>
    <w:rsid w:val="003F0700"/>
    <w:rsid w:val="003F26B9"/>
    <w:rsid w:val="003F3CE1"/>
    <w:rsid w:val="003F4EE0"/>
    <w:rsid w:val="003F548D"/>
    <w:rsid w:val="00402153"/>
    <w:rsid w:val="00402FC1"/>
    <w:rsid w:val="00406B0F"/>
    <w:rsid w:val="00407770"/>
    <w:rsid w:val="0041257E"/>
    <w:rsid w:val="004176BB"/>
    <w:rsid w:val="004201F6"/>
    <w:rsid w:val="0042391C"/>
    <w:rsid w:val="004244E4"/>
    <w:rsid w:val="00425082"/>
    <w:rsid w:val="00426E8E"/>
    <w:rsid w:val="00431DEB"/>
    <w:rsid w:val="004367A3"/>
    <w:rsid w:val="00440DDC"/>
    <w:rsid w:val="00446B29"/>
    <w:rsid w:val="00451A43"/>
    <w:rsid w:val="00453C0E"/>
    <w:rsid w:val="00453F9A"/>
    <w:rsid w:val="00464119"/>
    <w:rsid w:val="004641EE"/>
    <w:rsid w:val="00465ED7"/>
    <w:rsid w:val="0047091D"/>
    <w:rsid w:val="00471E91"/>
    <w:rsid w:val="00473395"/>
    <w:rsid w:val="00474475"/>
    <w:rsid w:val="00474675"/>
    <w:rsid w:val="0047470C"/>
    <w:rsid w:val="00475622"/>
    <w:rsid w:val="004855E2"/>
    <w:rsid w:val="00487A02"/>
    <w:rsid w:val="00492952"/>
    <w:rsid w:val="00493251"/>
    <w:rsid w:val="00496C97"/>
    <w:rsid w:val="004A1F30"/>
    <w:rsid w:val="004A2F83"/>
    <w:rsid w:val="004A35F9"/>
    <w:rsid w:val="004B24C1"/>
    <w:rsid w:val="004B5C33"/>
    <w:rsid w:val="004C292F"/>
    <w:rsid w:val="004C5318"/>
    <w:rsid w:val="004C6D2D"/>
    <w:rsid w:val="004D1AB2"/>
    <w:rsid w:val="004D2F2B"/>
    <w:rsid w:val="004D4E32"/>
    <w:rsid w:val="004D69DE"/>
    <w:rsid w:val="004E2F51"/>
    <w:rsid w:val="004E48BC"/>
    <w:rsid w:val="004E4B7A"/>
    <w:rsid w:val="004E5056"/>
    <w:rsid w:val="004E7028"/>
    <w:rsid w:val="004F52CE"/>
    <w:rsid w:val="00503FCC"/>
    <w:rsid w:val="00504889"/>
    <w:rsid w:val="00510280"/>
    <w:rsid w:val="00510294"/>
    <w:rsid w:val="00513D73"/>
    <w:rsid w:val="00514A43"/>
    <w:rsid w:val="005174E5"/>
    <w:rsid w:val="00522125"/>
    <w:rsid w:val="00522393"/>
    <w:rsid w:val="00522620"/>
    <w:rsid w:val="00525656"/>
    <w:rsid w:val="005260B0"/>
    <w:rsid w:val="005268EE"/>
    <w:rsid w:val="0052784E"/>
    <w:rsid w:val="00527B1E"/>
    <w:rsid w:val="00534C02"/>
    <w:rsid w:val="00537F28"/>
    <w:rsid w:val="0054264B"/>
    <w:rsid w:val="00543786"/>
    <w:rsid w:val="0054517F"/>
    <w:rsid w:val="00546508"/>
    <w:rsid w:val="005533D7"/>
    <w:rsid w:val="005641AF"/>
    <w:rsid w:val="005650EA"/>
    <w:rsid w:val="00566426"/>
    <w:rsid w:val="00566F40"/>
    <w:rsid w:val="00570296"/>
    <w:rsid w:val="005703DE"/>
    <w:rsid w:val="00572C15"/>
    <w:rsid w:val="00577915"/>
    <w:rsid w:val="00580272"/>
    <w:rsid w:val="00580F18"/>
    <w:rsid w:val="00584062"/>
    <w:rsid w:val="0058464E"/>
    <w:rsid w:val="00587694"/>
    <w:rsid w:val="00587A0E"/>
    <w:rsid w:val="00594519"/>
    <w:rsid w:val="00596557"/>
    <w:rsid w:val="00597257"/>
    <w:rsid w:val="005A01CB"/>
    <w:rsid w:val="005A0A83"/>
    <w:rsid w:val="005A30F3"/>
    <w:rsid w:val="005A58FF"/>
    <w:rsid w:val="005A5EAF"/>
    <w:rsid w:val="005A64C0"/>
    <w:rsid w:val="005B0F20"/>
    <w:rsid w:val="005B3C11"/>
    <w:rsid w:val="005B6D5F"/>
    <w:rsid w:val="005C0C13"/>
    <w:rsid w:val="005C1C28"/>
    <w:rsid w:val="005C5CBA"/>
    <w:rsid w:val="005C6DB5"/>
    <w:rsid w:val="005D28D8"/>
    <w:rsid w:val="005D2B0F"/>
    <w:rsid w:val="005D33E4"/>
    <w:rsid w:val="005D4126"/>
    <w:rsid w:val="005D6BE6"/>
    <w:rsid w:val="005D77CD"/>
    <w:rsid w:val="005E1551"/>
    <w:rsid w:val="005E19E7"/>
    <w:rsid w:val="005E329C"/>
    <w:rsid w:val="005E693A"/>
    <w:rsid w:val="005E6969"/>
    <w:rsid w:val="005F06D6"/>
    <w:rsid w:val="005F1BCB"/>
    <w:rsid w:val="005F4FF2"/>
    <w:rsid w:val="00602AB3"/>
    <w:rsid w:val="0061279F"/>
    <w:rsid w:val="0061314C"/>
    <w:rsid w:val="00613ED0"/>
    <w:rsid w:val="0061716C"/>
    <w:rsid w:val="00624379"/>
    <w:rsid w:val="006243A1"/>
    <w:rsid w:val="006258A4"/>
    <w:rsid w:val="0062793E"/>
    <w:rsid w:val="00632153"/>
    <w:rsid w:val="00632458"/>
    <w:rsid w:val="00632E56"/>
    <w:rsid w:val="00635CBA"/>
    <w:rsid w:val="00637B02"/>
    <w:rsid w:val="0064338B"/>
    <w:rsid w:val="00645717"/>
    <w:rsid w:val="00646303"/>
    <w:rsid w:val="00646542"/>
    <w:rsid w:val="006504F4"/>
    <w:rsid w:val="00654BC9"/>
    <w:rsid w:val="006552FD"/>
    <w:rsid w:val="00663AF3"/>
    <w:rsid w:val="00664E59"/>
    <w:rsid w:val="00665230"/>
    <w:rsid w:val="00665BB3"/>
    <w:rsid w:val="00666B6C"/>
    <w:rsid w:val="00673468"/>
    <w:rsid w:val="00682682"/>
    <w:rsid w:val="00682702"/>
    <w:rsid w:val="00690602"/>
    <w:rsid w:val="0069073B"/>
    <w:rsid w:val="00692368"/>
    <w:rsid w:val="006A0B50"/>
    <w:rsid w:val="006A188D"/>
    <w:rsid w:val="006A2EBC"/>
    <w:rsid w:val="006A5CC6"/>
    <w:rsid w:val="006A5EA0"/>
    <w:rsid w:val="006A71DE"/>
    <w:rsid w:val="006A783B"/>
    <w:rsid w:val="006A7B33"/>
    <w:rsid w:val="006B4E13"/>
    <w:rsid w:val="006B75DD"/>
    <w:rsid w:val="006B7C7D"/>
    <w:rsid w:val="006C5E69"/>
    <w:rsid w:val="006C67E0"/>
    <w:rsid w:val="006C7ABA"/>
    <w:rsid w:val="006D0D60"/>
    <w:rsid w:val="006D1122"/>
    <w:rsid w:val="006D2ECE"/>
    <w:rsid w:val="006D37AD"/>
    <w:rsid w:val="006D3C00"/>
    <w:rsid w:val="006D3E1E"/>
    <w:rsid w:val="006D3FF8"/>
    <w:rsid w:val="006D7B85"/>
    <w:rsid w:val="006E03FD"/>
    <w:rsid w:val="006E24C2"/>
    <w:rsid w:val="006E2C4F"/>
    <w:rsid w:val="006E3675"/>
    <w:rsid w:val="006E4A7F"/>
    <w:rsid w:val="006E5263"/>
    <w:rsid w:val="006E535A"/>
    <w:rsid w:val="006E6265"/>
    <w:rsid w:val="006F2EC1"/>
    <w:rsid w:val="00704DF6"/>
    <w:rsid w:val="007061AA"/>
    <w:rsid w:val="0070651C"/>
    <w:rsid w:val="00712069"/>
    <w:rsid w:val="00712328"/>
    <w:rsid w:val="007131CC"/>
    <w:rsid w:val="007132A3"/>
    <w:rsid w:val="00714095"/>
    <w:rsid w:val="00715BF9"/>
    <w:rsid w:val="00716421"/>
    <w:rsid w:val="0072176D"/>
    <w:rsid w:val="00723E76"/>
    <w:rsid w:val="00724829"/>
    <w:rsid w:val="00724EFB"/>
    <w:rsid w:val="00726DCF"/>
    <w:rsid w:val="007271B6"/>
    <w:rsid w:val="00731B6E"/>
    <w:rsid w:val="00736530"/>
    <w:rsid w:val="007403D3"/>
    <w:rsid w:val="0074040D"/>
    <w:rsid w:val="007407F0"/>
    <w:rsid w:val="00740C5F"/>
    <w:rsid w:val="007419C3"/>
    <w:rsid w:val="007467A7"/>
    <w:rsid w:val="007469DD"/>
    <w:rsid w:val="0074741B"/>
    <w:rsid w:val="0074759E"/>
    <w:rsid w:val="007478EA"/>
    <w:rsid w:val="0075415C"/>
    <w:rsid w:val="00754C1F"/>
    <w:rsid w:val="00763502"/>
    <w:rsid w:val="007678F1"/>
    <w:rsid w:val="0077786F"/>
    <w:rsid w:val="007913AB"/>
    <w:rsid w:val="007914F7"/>
    <w:rsid w:val="007954A1"/>
    <w:rsid w:val="00796E9D"/>
    <w:rsid w:val="007A0E89"/>
    <w:rsid w:val="007A35D9"/>
    <w:rsid w:val="007A4D36"/>
    <w:rsid w:val="007B1625"/>
    <w:rsid w:val="007B1DA6"/>
    <w:rsid w:val="007B5E86"/>
    <w:rsid w:val="007B706E"/>
    <w:rsid w:val="007B71EB"/>
    <w:rsid w:val="007C046C"/>
    <w:rsid w:val="007C6205"/>
    <w:rsid w:val="007C686A"/>
    <w:rsid w:val="007C700F"/>
    <w:rsid w:val="007C728E"/>
    <w:rsid w:val="007D2C53"/>
    <w:rsid w:val="007D3D60"/>
    <w:rsid w:val="007D52C6"/>
    <w:rsid w:val="007D5F89"/>
    <w:rsid w:val="007D7FFD"/>
    <w:rsid w:val="007E1980"/>
    <w:rsid w:val="007E1E70"/>
    <w:rsid w:val="007E23BD"/>
    <w:rsid w:val="007E4B76"/>
    <w:rsid w:val="007E5EA8"/>
    <w:rsid w:val="007F019C"/>
    <w:rsid w:val="007F0CF1"/>
    <w:rsid w:val="007F12A5"/>
    <w:rsid w:val="007F1804"/>
    <w:rsid w:val="007F328D"/>
    <w:rsid w:val="007F4CF1"/>
    <w:rsid w:val="007F4EC5"/>
    <w:rsid w:val="007F675D"/>
    <w:rsid w:val="007F6B95"/>
    <w:rsid w:val="007F758D"/>
    <w:rsid w:val="007F7D52"/>
    <w:rsid w:val="00801821"/>
    <w:rsid w:val="008041E4"/>
    <w:rsid w:val="00805FA9"/>
    <w:rsid w:val="0080654C"/>
    <w:rsid w:val="008071C6"/>
    <w:rsid w:val="00814DB8"/>
    <w:rsid w:val="00817A00"/>
    <w:rsid w:val="00820C6F"/>
    <w:rsid w:val="00825C83"/>
    <w:rsid w:val="00826E4F"/>
    <w:rsid w:val="00835DB3"/>
    <w:rsid w:val="0083617B"/>
    <w:rsid w:val="008371BD"/>
    <w:rsid w:val="00840727"/>
    <w:rsid w:val="0084331E"/>
    <w:rsid w:val="008504A8"/>
    <w:rsid w:val="0085282E"/>
    <w:rsid w:val="00852E3D"/>
    <w:rsid w:val="00863E76"/>
    <w:rsid w:val="00867293"/>
    <w:rsid w:val="00871538"/>
    <w:rsid w:val="0087198C"/>
    <w:rsid w:val="008728E5"/>
    <w:rsid w:val="00872B2A"/>
    <w:rsid w:val="00872C1F"/>
    <w:rsid w:val="00872C95"/>
    <w:rsid w:val="00873B42"/>
    <w:rsid w:val="008801C3"/>
    <w:rsid w:val="00882483"/>
    <w:rsid w:val="008828A7"/>
    <w:rsid w:val="008856D8"/>
    <w:rsid w:val="00885D85"/>
    <w:rsid w:val="00890862"/>
    <w:rsid w:val="008926C2"/>
    <w:rsid w:val="00892D6C"/>
    <w:rsid w:val="00892E82"/>
    <w:rsid w:val="00896839"/>
    <w:rsid w:val="008A08A5"/>
    <w:rsid w:val="008A1DF9"/>
    <w:rsid w:val="008A4054"/>
    <w:rsid w:val="008A7036"/>
    <w:rsid w:val="008B29E5"/>
    <w:rsid w:val="008B3FEE"/>
    <w:rsid w:val="008B4A04"/>
    <w:rsid w:val="008B6F3B"/>
    <w:rsid w:val="008B7D5A"/>
    <w:rsid w:val="008C0D07"/>
    <w:rsid w:val="008C1B58"/>
    <w:rsid w:val="008C21B2"/>
    <w:rsid w:val="008C35C1"/>
    <w:rsid w:val="008C39AE"/>
    <w:rsid w:val="008C4774"/>
    <w:rsid w:val="008C5447"/>
    <w:rsid w:val="008C590D"/>
    <w:rsid w:val="008C5DCA"/>
    <w:rsid w:val="008D338A"/>
    <w:rsid w:val="008D33D8"/>
    <w:rsid w:val="008E031B"/>
    <w:rsid w:val="008E0A9F"/>
    <w:rsid w:val="008E1FC8"/>
    <w:rsid w:val="008E3F94"/>
    <w:rsid w:val="008E5A77"/>
    <w:rsid w:val="008E7029"/>
    <w:rsid w:val="008E7441"/>
    <w:rsid w:val="008E7EF6"/>
    <w:rsid w:val="008F1F98"/>
    <w:rsid w:val="008F47C7"/>
    <w:rsid w:val="008F6758"/>
    <w:rsid w:val="009040DD"/>
    <w:rsid w:val="0090567F"/>
    <w:rsid w:val="00905B47"/>
    <w:rsid w:val="00910CE4"/>
    <w:rsid w:val="00911BA7"/>
    <w:rsid w:val="009123C8"/>
    <w:rsid w:val="0091331C"/>
    <w:rsid w:val="00914A8D"/>
    <w:rsid w:val="00914F55"/>
    <w:rsid w:val="009173CF"/>
    <w:rsid w:val="009178F5"/>
    <w:rsid w:val="00923CFB"/>
    <w:rsid w:val="00924D6B"/>
    <w:rsid w:val="0092531B"/>
    <w:rsid w:val="009279DE"/>
    <w:rsid w:val="00930116"/>
    <w:rsid w:val="00931279"/>
    <w:rsid w:val="00932685"/>
    <w:rsid w:val="00932776"/>
    <w:rsid w:val="0094212C"/>
    <w:rsid w:val="0094557B"/>
    <w:rsid w:val="00947DAF"/>
    <w:rsid w:val="00954689"/>
    <w:rsid w:val="00960050"/>
    <w:rsid w:val="00961476"/>
    <w:rsid w:val="009617C9"/>
    <w:rsid w:val="00961C93"/>
    <w:rsid w:val="00963F46"/>
    <w:rsid w:val="00965324"/>
    <w:rsid w:val="00966C3B"/>
    <w:rsid w:val="0097091E"/>
    <w:rsid w:val="009744D8"/>
    <w:rsid w:val="00975FD9"/>
    <w:rsid w:val="009760D3"/>
    <w:rsid w:val="00977132"/>
    <w:rsid w:val="00981A4B"/>
    <w:rsid w:val="00982501"/>
    <w:rsid w:val="00982B1C"/>
    <w:rsid w:val="00984F90"/>
    <w:rsid w:val="009859C5"/>
    <w:rsid w:val="009877D3"/>
    <w:rsid w:val="00991BE4"/>
    <w:rsid w:val="009921CC"/>
    <w:rsid w:val="00994E8F"/>
    <w:rsid w:val="009951DC"/>
    <w:rsid w:val="009959BB"/>
    <w:rsid w:val="00997158"/>
    <w:rsid w:val="00997248"/>
    <w:rsid w:val="009A3A7C"/>
    <w:rsid w:val="009A6C32"/>
    <w:rsid w:val="009A73F3"/>
    <w:rsid w:val="009B0B01"/>
    <w:rsid w:val="009B18B0"/>
    <w:rsid w:val="009B1CD7"/>
    <w:rsid w:val="009B2ADB"/>
    <w:rsid w:val="009B603A"/>
    <w:rsid w:val="009B68C5"/>
    <w:rsid w:val="009B7723"/>
    <w:rsid w:val="009C1CA8"/>
    <w:rsid w:val="009C2D0E"/>
    <w:rsid w:val="009C3DAC"/>
    <w:rsid w:val="009C42E0"/>
    <w:rsid w:val="009C5ACE"/>
    <w:rsid w:val="009D0B53"/>
    <w:rsid w:val="009D5362"/>
    <w:rsid w:val="009E1415"/>
    <w:rsid w:val="009E585A"/>
    <w:rsid w:val="009E5E28"/>
    <w:rsid w:val="009E6116"/>
    <w:rsid w:val="009E6224"/>
    <w:rsid w:val="009F1DA5"/>
    <w:rsid w:val="009F55DA"/>
    <w:rsid w:val="00A00339"/>
    <w:rsid w:val="00A005A3"/>
    <w:rsid w:val="00A02A9C"/>
    <w:rsid w:val="00A02E43"/>
    <w:rsid w:val="00A03302"/>
    <w:rsid w:val="00A04202"/>
    <w:rsid w:val="00A0446E"/>
    <w:rsid w:val="00A065F9"/>
    <w:rsid w:val="00A06C72"/>
    <w:rsid w:val="00A07F34"/>
    <w:rsid w:val="00A14D3C"/>
    <w:rsid w:val="00A17ADA"/>
    <w:rsid w:val="00A21555"/>
    <w:rsid w:val="00A22154"/>
    <w:rsid w:val="00A22D34"/>
    <w:rsid w:val="00A25C38"/>
    <w:rsid w:val="00A26802"/>
    <w:rsid w:val="00A26E7A"/>
    <w:rsid w:val="00A30B72"/>
    <w:rsid w:val="00A30F77"/>
    <w:rsid w:val="00A33528"/>
    <w:rsid w:val="00A33B57"/>
    <w:rsid w:val="00A36BBE"/>
    <w:rsid w:val="00A41817"/>
    <w:rsid w:val="00A4307A"/>
    <w:rsid w:val="00A43898"/>
    <w:rsid w:val="00A464A2"/>
    <w:rsid w:val="00A47EBB"/>
    <w:rsid w:val="00A51CDD"/>
    <w:rsid w:val="00A54A46"/>
    <w:rsid w:val="00A55798"/>
    <w:rsid w:val="00A55A54"/>
    <w:rsid w:val="00A62DA6"/>
    <w:rsid w:val="00A62EE3"/>
    <w:rsid w:val="00A6730D"/>
    <w:rsid w:val="00A71625"/>
    <w:rsid w:val="00A71B9B"/>
    <w:rsid w:val="00A73470"/>
    <w:rsid w:val="00A751C7"/>
    <w:rsid w:val="00A75879"/>
    <w:rsid w:val="00A76C1A"/>
    <w:rsid w:val="00A8296C"/>
    <w:rsid w:val="00A86FAC"/>
    <w:rsid w:val="00A87844"/>
    <w:rsid w:val="00A92962"/>
    <w:rsid w:val="00A92D07"/>
    <w:rsid w:val="00A95FB8"/>
    <w:rsid w:val="00A96794"/>
    <w:rsid w:val="00AA038C"/>
    <w:rsid w:val="00AA26F8"/>
    <w:rsid w:val="00AA4A8D"/>
    <w:rsid w:val="00AA7A09"/>
    <w:rsid w:val="00AB3B50"/>
    <w:rsid w:val="00AC05B1"/>
    <w:rsid w:val="00AC27B8"/>
    <w:rsid w:val="00AC77B8"/>
    <w:rsid w:val="00AD30FB"/>
    <w:rsid w:val="00AD356C"/>
    <w:rsid w:val="00AD5D9B"/>
    <w:rsid w:val="00AD7186"/>
    <w:rsid w:val="00AE2914"/>
    <w:rsid w:val="00AE4D22"/>
    <w:rsid w:val="00AE6D15"/>
    <w:rsid w:val="00AF0F15"/>
    <w:rsid w:val="00B04182"/>
    <w:rsid w:val="00B046C2"/>
    <w:rsid w:val="00B04DF5"/>
    <w:rsid w:val="00B05316"/>
    <w:rsid w:val="00B07649"/>
    <w:rsid w:val="00B07AE3"/>
    <w:rsid w:val="00B11430"/>
    <w:rsid w:val="00B134DC"/>
    <w:rsid w:val="00B14121"/>
    <w:rsid w:val="00B16A15"/>
    <w:rsid w:val="00B17935"/>
    <w:rsid w:val="00B179FC"/>
    <w:rsid w:val="00B23E50"/>
    <w:rsid w:val="00B273DD"/>
    <w:rsid w:val="00B3022A"/>
    <w:rsid w:val="00B30719"/>
    <w:rsid w:val="00B353EB"/>
    <w:rsid w:val="00B40709"/>
    <w:rsid w:val="00B439C4"/>
    <w:rsid w:val="00B4535E"/>
    <w:rsid w:val="00B47086"/>
    <w:rsid w:val="00B50189"/>
    <w:rsid w:val="00B51AF0"/>
    <w:rsid w:val="00B52A8C"/>
    <w:rsid w:val="00B53CA3"/>
    <w:rsid w:val="00B56275"/>
    <w:rsid w:val="00B6280F"/>
    <w:rsid w:val="00B636A8"/>
    <w:rsid w:val="00B653B3"/>
    <w:rsid w:val="00B665C6"/>
    <w:rsid w:val="00B74E3B"/>
    <w:rsid w:val="00B75ECF"/>
    <w:rsid w:val="00B7654A"/>
    <w:rsid w:val="00B805AF"/>
    <w:rsid w:val="00B82E53"/>
    <w:rsid w:val="00B8325F"/>
    <w:rsid w:val="00B842BC"/>
    <w:rsid w:val="00B869EC"/>
    <w:rsid w:val="00B91B37"/>
    <w:rsid w:val="00B929EF"/>
    <w:rsid w:val="00B9397A"/>
    <w:rsid w:val="00B94CA4"/>
    <w:rsid w:val="00B9633D"/>
    <w:rsid w:val="00B97C09"/>
    <w:rsid w:val="00BA2A3E"/>
    <w:rsid w:val="00BA2EBE"/>
    <w:rsid w:val="00BA36C8"/>
    <w:rsid w:val="00BA4513"/>
    <w:rsid w:val="00BA6701"/>
    <w:rsid w:val="00BB0F28"/>
    <w:rsid w:val="00BB156B"/>
    <w:rsid w:val="00BB458A"/>
    <w:rsid w:val="00BB7518"/>
    <w:rsid w:val="00BB7F87"/>
    <w:rsid w:val="00BC1B91"/>
    <w:rsid w:val="00BC5952"/>
    <w:rsid w:val="00BC5ACD"/>
    <w:rsid w:val="00BD00D3"/>
    <w:rsid w:val="00BD1440"/>
    <w:rsid w:val="00BD1659"/>
    <w:rsid w:val="00BD273A"/>
    <w:rsid w:val="00BD3AA9"/>
    <w:rsid w:val="00BD4A18"/>
    <w:rsid w:val="00BD6DB2"/>
    <w:rsid w:val="00BE11CF"/>
    <w:rsid w:val="00BE21AB"/>
    <w:rsid w:val="00BE25C9"/>
    <w:rsid w:val="00BE55CB"/>
    <w:rsid w:val="00BF1397"/>
    <w:rsid w:val="00BF21BA"/>
    <w:rsid w:val="00BF2E95"/>
    <w:rsid w:val="00BF49A8"/>
    <w:rsid w:val="00BF617A"/>
    <w:rsid w:val="00BF764C"/>
    <w:rsid w:val="00C0379D"/>
    <w:rsid w:val="00C03931"/>
    <w:rsid w:val="00C03A66"/>
    <w:rsid w:val="00C04E91"/>
    <w:rsid w:val="00C05FE3"/>
    <w:rsid w:val="00C079F8"/>
    <w:rsid w:val="00C12DD0"/>
    <w:rsid w:val="00C14457"/>
    <w:rsid w:val="00C2136D"/>
    <w:rsid w:val="00C214EE"/>
    <w:rsid w:val="00C2314B"/>
    <w:rsid w:val="00C23283"/>
    <w:rsid w:val="00C2339D"/>
    <w:rsid w:val="00C24353"/>
    <w:rsid w:val="00C24971"/>
    <w:rsid w:val="00C26BE5"/>
    <w:rsid w:val="00C26E4D"/>
    <w:rsid w:val="00C26EF9"/>
    <w:rsid w:val="00C27909"/>
    <w:rsid w:val="00C27B03"/>
    <w:rsid w:val="00C30301"/>
    <w:rsid w:val="00C314E1"/>
    <w:rsid w:val="00C32AF6"/>
    <w:rsid w:val="00C34397"/>
    <w:rsid w:val="00C4095D"/>
    <w:rsid w:val="00C40A6B"/>
    <w:rsid w:val="00C44158"/>
    <w:rsid w:val="00C50432"/>
    <w:rsid w:val="00C523B4"/>
    <w:rsid w:val="00C53A59"/>
    <w:rsid w:val="00C54DDE"/>
    <w:rsid w:val="00C601D2"/>
    <w:rsid w:val="00C629E8"/>
    <w:rsid w:val="00C65BCC"/>
    <w:rsid w:val="00C66970"/>
    <w:rsid w:val="00C72769"/>
    <w:rsid w:val="00C812B3"/>
    <w:rsid w:val="00C8691C"/>
    <w:rsid w:val="00C90118"/>
    <w:rsid w:val="00C909BC"/>
    <w:rsid w:val="00C90FEA"/>
    <w:rsid w:val="00C968CC"/>
    <w:rsid w:val="00CA04F0"/>
    <w:rsid w:val="00CA168A"/>
    <w:rsid w:val="00CA3490"/>
    <w:rsid w:val="00CA357E"/>
    <w:rsid w:val="00CA38D3"/>
    <w:rsid w:val="00CA44F9"/>
    <w:rsid w:val="00CA4A69"/>
    <w:rsid w:val="00CB0A13"/>
    <w:rsid w:val="00CB0EFA"/>
    <w:rsid w:val="00CB7A50"/>
    <w:rsid w:val="00CB7AD0"/>
    <w:rsid w:val="00CC15AA"/>
    <w:rsid w:val="00CC3E0C"/>
    <w:rsid w:val="00CC429B"/>
    <w:rsid w:val="00CC58D3"/>
    <w:rsid w:val="00CC6BDF"/>
    <w:rsid w:val="00CC784D"/>
    <w:rsid w:val="00CD1C77"/>
    <w:rsid w:val="00CD25DC"/>
    <w:rsid w:val="00CE42C2"/>
    <w:rsid w:val="00CF1239"/>
    <w:rsid w:val="00CF61BA"/>
    <w:rsid w:val="00CF66B0"/>
    <w:rsid w:val="00D00057"/>
    <w:rsid w:val="00D0036D"/>
    <w:rsid w:val="00D010DB"/>
    <w:rsid w:val="00D0337B"/>
    <w:rsid w:val="00D05820"/>
    <w:rsid w:val="00D079B2"/>
    <w:rsid w:val="00D114E9"/>
    <w:rsid w:val="00D11FAF"/>
    <w:rsid w:val="00D131E3"/>
    <w:rsid w:val="00D14A2A"/>
    <w:rsid w:val="00D1669E"/>
    <w:rsid w:val="00D21070"/>
    <w:rsid w:val="00D23FF5"/>
    <w:rsid w:val="00D246ED"/>
    <w:rsid w:val="00D24860"/>
    <w:rsid w:val="00D35EF5"/>
    <w:rsid w:val="00D42874"/>
    <w:rsid w:val="00D429C6"/>
    <w:rsid w:val="00D43360"/>
    <w:rsid w:val="00D45C3B"/>
    <w:rsid w:val="00D4772C"/>
    <w:rsid w:val="00D47748"/>
    <w:rsid w:val="00D52940"/>
    <w:rsid w:val="00D54871"/>
    <w:rsid w:val="00D54CC3"/>
    <w:rsid w:val="00D56B6F"/>
    <w:rsid w:val="00D6041A"/>
    <w:rsid w:val="00D60A98"/>
    <w:rsid w:val="00D62492"/>
    <w:rsid w:val="00D62E9B"/>
    <w:rsid w:val="00D633EB"/>
    <w:rsid w:val="00D72138"/>
    <w:rsid w:val="00D7405B"/>
    <w:rsid w:val="00D76E52"/>
    <w:rsid w:val="00D80B85"/>
    <w:rsid w:val="00D82685"/>
    <w:rsid w:val="00D82FF7"/>
    <w:rsid w:val="00D847FE"/>
    <w:rsid w:val="00D90DB6"/>
    <w:rsid w:val="00D93F34"/>
    <w:rsid w:val="00D94784"/>
    <w:rsid w:val="00D964EA"/>
    <w:rsid w:val="00D966D0"/>
    <w:rsid w:val="00D968B9"/>
    <w:rsid w:val="00D9732D"/>
    <w:rsid w:val="00DA0C59"/>
    <w:rsid w:val="00DA3991"/>
    <w:rsid w:val="00DA3D03"/>
    <w:rsid w:val="00DB3754"/>
    <w:rsid w:val="00DB6020"/>
    <w:rsid w:val="00DB7B5E"/>
    <w:rsid w:val="00DB7E6C"/>
    <w:rsid w:val="00DD0ADC"/>
    <w:rsid w:val="00DD29F6"/>
    <w:rsid w:val="00DD56EF"/>
    <w:rsid w:val="00DD5A29"/>
    <w:rsid w:val="00DD5D9D"/>
    <w:rsid w:val="00DD60E0"/>
    <w:rsid w:val="00DD7533"/>
    <w:rsid w:val="00DE0B4B"/>
    <w:rsid w:val="00DE0F1C"/>
    <w:rsid w:val="00DE1EDB"/>
    <w:rsid w:val="00DE35CB"/>
    <w:rsid w:val="00DE76F9"/>
    <w:rsid w:val="00DE775D"/>
    <w:rsid w:val="00DF141D"/>
    <w:rsid w:val="00DF21E9"/>
    <w:rsid w:val="00DF62BB"/>
    <w:rsid w:val="00E00F14"/>
    <w:rsid w:val="00E01EB9"/>
    <w:rsid w:val="00E023FB"/>
    <w:rsid w:val="00E02EE5"/>
    <w:rsid w:val="00E05A78"/>
    <w:rsid w:val="00E06386"/>
    <w:rsid w:val="00E128C3"/>
    <w:rsid w:val="00E21F50"/>
    <w:rsid w:val="00E24779"/>
    <w:rsid w:val="00E24EB4"/>
    <w:rsid w:val="00E320ED"/>
    <w:rsid w:val="00E33AFB"/>
    <w:rsid w:val="00E34218"/>
    <w:rsid w:val="00E359CF"/>
    <w:rsid w:val="00E368C5"/>
    <w:rsid w:val="00E372CA"/>
    <w:rsid w:val="00E376A9"/>
    <w:rsid w:val="00E4181B"/>
    <w:rsid w:val="00E42211"/>
    <w:rsid w:val="00E432C2"/>
    <w:rsid w:val="00E43306"/>
    <w:rsid w:val="00E449BA"/>
    <w:rsid w:val="00E46282"/>
    <w:rsid w:val="00E50475"/>
    <w:rsid w:val="00E504B3"/>
    <w:rsid w:val="00E5216E"/>
    <w:rsid w:val="00E55121"/>
    <w:rsid w:val="00E55474"/>
    <w:rsid w:val="00E573A7"/>
    <w:rsid w:val="00E61325"/>
    <w:rsid w:val="00E63E70"/>
    <w:rsid w:val="00E66E48"/>
    <w:rsid w:val="00E82344"/>
    <w:rsid w:val="00E84C82"/>
    <w:rsid w:val="00E84D64"/>
    <w:rsid w:val="00E85A7E"/>
    <w:rsid w:val="00E85FA4"/>
    <w:rsid w:val="00E87408"/>
    <w:rsid w:val="00E914C4"/>
    <w:rsid w:val="00E934F5"/>
    <w:rsid w:val="00E93CAD"/>
    <w:rsid w:val="00E96961"/>
    <w:rsid w:val="00E975B7"/>
    <w:rsid w:val="00EA21AD"/>
    <w:rsid w:val="00EA5958"/>
    <w:rsid w:val="00EA72EC"/>
    <w:rsid w:val="00EB0645"/>
    <w:rsid w:val="00EB11CB"/>
    <w:rsid w:val="00EB275A"/>
    <w:rsid w:val="00EB786A"/>
    <w:rsid w:val="00EC1578"/>
    <w:rsid w:val="00EC1C72"/>
    <w:rsid w:val="00EC3CC9"/>
    <w:rsid w:val="00EC680A"/>
    <w:rsid w:val="00EC78AD"/>
    <w:rsid w:val="00ED5CC0"/>
    <w:rsid w:val="00EE1714"/>
    <w:rsid w:val="00EE2BED"/>
    <w:rsid w:val="00EE374B"/>
    <w:rsid w:val="00EE6F6E"/>
    <w:rsid w:val="00EE7BE1"/>
    <w:rsid w:val="00EF0804"/>
    <w:rsid w:val="00EF3197"/>
    <w:rsid w:val="00F0282D"/>
    <w:rsid w:val="00F05804"/>
    <w:rsid w:val="00F05958"/>
    <w:rsid w:val="00F063C1"/>
    <w:rsid w:val="00F06DEC"/>
    <w:rsid w:val="00F11BB5"/>
    <w:rsid w:val="00F1417B"/>
    <w:rsid w:val="00F260A0"/>
    <w:rsid w:val="00F33CEB"/>
    <w:rsid w:val="00F34144"/>
    <w:rsid w:val="00F34B99"/>
    <w:rsid w:val="00F3505A"/>
    <w:rsid w:val="00F3618D"/>
    <w:rsid w:val="00F40369"/>
    <w:rsid w:val="00F41B11"/>
    <w:rsid w:val="00F52DAB"/>
    <w:rsid w:val="00F543F0"/>
    <w:rsid w:val="00F578C5"/>
    <w:rsid w:val="00F57E48"/>
    <w:rsid w:val="00F604DA"/>
    <w:rsid w:val="00F61C9F"/>
    <w:rsid w:val="00F64300"/>
    <w:rsid w:val="00F65BEF"/>
    <w:rsid w:val="00F72296"/>
    <w:rsid w:val="00F81D29"/>
    <w:rsid w:val="00F84151"/>
    <w:rsid w:val="00F866FC"/>
    <w:rsid w:val="00F91C4D"/>
    <w:rsid w:val="00F92FD9"/>
    <w:rsid w:val="00FA422B"/>
    <w:rsid w:val="00FA5570"/>
    <w:rsid w:val="00FA6684"/>
    <w:rsid w:val="00FA731E"/>
    <w:rsid w:val="00FB2B38"/>
    <w:rsid w:val="00FB7029"/>
    <w:rsid w:val="00FC563A"/>
    <w:rsid w:val="00FC6358"/>
    <w:rsid w:val="00FD1CE9"/>
    <w:rsid w:val="00FD21A4"/>
    <w:rsid w:val="00FD296B"/>
    <w:rsid w:val="00FD2D83"/>
    <w:rsid w:val="00FD320D"/>
    <w:rsid w:val="00FE23DE"/>
    <w:rsid w:val="00FE452F"/>
    <w:rsid w:val="00FE453D"/>
    <w:rsid w:val="00FE5333"/>
    <w:rsid w:val="00FE6BE2"/>
    <w:rsid w:val="00FF2CC4"/>
    <w:rsid w:val="0111659F"/>
    <w:rsid w:val="01352B0B"/>
    <w:rsid w:val="01576904"/>
    <w:rsid w:val="01782F6B"/>
    <w:rsid w:val="01932880"/>
    <w:rsid w:val="019668EA"/>
    <w:rsid w:val="01B34B35"/>
    <w:rsid w:val="01E124C7"/>
    <w:rsid w:val="01F878CB"/>
    <w:rsid w:val="01FC1270"/>
    <w:rsid w:val="02002019"/>
    <w:rsid w:val="020A3D7A"/>
    <w:rsid w:val="0218564C"/>
    <w:rsid w:val="02367AC6"/>
    <w:rsid w:val="028332F8"/>
    <w:rsid w:val="02883452"/>
    <w:rsid w:val="02D037B2"/>
    <w:rsid w:val="03157861"/>
    <w:rsid w:val="033C0CE0"/>
    <w:rsid w:val="0353784D"/>
    <w:rsid w:val="03793B65"/>
    <w:rsid w:val="03945AB3"/>
    <w:rsid w:val="03B87BB1"/>
    <w:rsid w:val="03D358A5"/>
    <w:rsid w:val="03E44008"/>
    <w:rsid w:val="041D138F"/>
    <w:rsid w:val="042D33ED"/>
    <w:rsid w:val="046B3792"/>
    <w:rsid w:val="047F0D17"/>
    <w:rsid w:val="048A0651"/>
    <w:rsid w:val="04904F23"/>
    <w:rsid w:val="0499484A"/>
    <w:rsid w:val="049B2886"/>
    <w:rsid w:val="04A354D1"/>
    <w:rsid w:val="04A778FD"/>
    <w:rsid w:val="04F15BF6"/>
    <w:rsid w:val="04FF04EC"/>
    <w:rsid w:val="051E627C"/>
    <w:rsid w:val="051F798E"/>
    <w:rsid w:val="052D2A52"/>
    <w:rsid w:val="05370147"/>
    <w:rsid w:val="054B5562"/>
    <w:rsid w:val="0559612B"/>
    <w:rsid w:val="05732DBC"/>
    <w:rsid w:val="0587131E"/>
    <w:rsid w:val="059118BC"/>
    <w:rsid w:val="05950B75"/>
    <w:rsid w:val="05967C03"/>
    <w:rsid w:val="05A10200"/>
    <w:rsid w:val="05B5429A"/>
    <w:rsid w:val="05CD75DF"/>
    <w:rsid w:val="061F6D39"/>
    <w:rsid w:val="064515F4"/>
    <w:rsid w:val="064C1C0F"/>
    <w:rsid w:val="06796193"/>
    <w:rsid w:val="069F2447"/>
    <w:rsid w:val="06B53DC1"/>
    <w:rsid w:val="06BA4CE9"/>
    <w:rsid w:val="06D00A2B"/>
    <w:rsid w:val="06E142AA"/>
    <w:rsid w:val="06F755C6"/>
    <w:rsid w:val="07101D74"/>
    <w:rsid w:val="071B2928"/>
    <w:rsid w:val="07492263"/>
    <w:rsid w:val="074E77DF"/>
    <w:rsid w:val="076B7470"/>
    <w:rsid w:val="07814BE1"/>
    <w:rsid w:val="07A13048"/>
    <w:rsid w:val="07B207DD"/>
    <w:rsid w:val="07ED14C2"/>
    <w:rsid w:val="083B347B"/>
    <w:rsid w:val="0864603B"/>
    <w:rsid w:val="087D7415"/>
    <w:rsid w:val="08B81303"/>
    <w:rsid w:val="08CB2937"/>
    <w:rsid w:val="08D758C9"/>
    <w:rsid w:val="08EC78BA"/>
    <w:rsid w:val="09007DC3"/>
    <w:rsid w:val="090D383A"/>
    <w:rsid w:val="09120227"/>
    <w:rsid w:val="09133E35"/>
    <w:rsid w:val="0916370A"/>
    <w:rsid w:val="09167EE5"/>
    <w:rsid w:val="092B39F6"/>
    <w:rsid w:val="09462B98"/>
    <w:rsid w:val="09463711"/>
    <w:rsid w:val="094B05B0"/>
    <w:rsid w:val="094E3682"/>
    <w:rsid w:val="09572BE5"/>
    <w:rsid w:val="096B6B21"/>
    <w:rsid w:val="097906FF"/>
    <w:rsid w:val="098C0C5B"/>
    <w:rsid w:val="09973A6A"/>
    <w:rsid w:val="099D0573"/>
    <w:rsid w:val="09BA36F5"/>
    <w:rsid w:val="09D1171D"/>
    <w:rsid w:val="09D92455"/>
    <w:rsid w:val="09E019C5"/>
    <w:rsid w:val="09E645D4"/>
    <w:rsid w:val="09EF29C8"/>
    <w:rsid w:val="0A1C134E"/>
    <w:rsid w:val="0A24150B"/>
    <w:rsid w:val="0A2767DE"/>
    <w:rsid w:val="0A517F84"/>
    <w:rsid w:val="0A6E482A"/>
    <w:rsid w:val="0A6E4B01"/>
    <w:rsid w:val="0AB41658"/>
    <w:rsid w:val="0ABF1DAC"/>
    <w:rsid w:val="0ACA7938"/>
    <w:rsid w:val="0B3D78E1"/>
    <w:rsid w:val="0B3F3E57"/>
    <w:rsid w:val="0B715BA9"/>
    <w:rsid w:val="0B742BFB"/>
    <w:rsid w:val="0B7B09AC"/>
    <w:rsid w:val="0BB56F41"/>
    <w:rsid w:val="0BBD1986"/>
    <w:rsid w:val="0BDE5F11"/>
    <w:rsid w:val="0C0A6FD7"/>
    <w:rsid w:val="0C294AD5"/>
    <w:rsid w:val="0C4811E9"/>
    <w:rsid w:val="0C4C26EE"/>
    <w:rsid w:val="0C6A3585"/>
    <w:rsid w:val="0CCC463C"/>
    <w:rsid w:val="0CD0052E"/>
    <w:rsid w:val="0CE86DD4"/>
    <w:rsid w:val="0D253D43"/>
    <w:rsid w:val="0D4D66C6"/>
    <w:rsid w:val="0D5545F4"/>
    <w:rsid w:val="0D561AAC"/>
    <w:rsid w:val="0D58057F"/>
    <w:rsid w:val="0D5968D8"/>
    <w:rsid w:val="0D5D6453"/>
    <w:rsid w:val="0D720526"/>
    <w:rsid w:val="0D72300A"/>
    <w:rsid w:val="0D897067"/>
    <w:rsid w:val="0DDF1B89"/>
    <w:rsid w:val="0DEC02D7"/>
    <w:rsid w:val="0DEE04DC"/>
    <w:rsid w:val="0DF2347F"/>
    <w:rsid w:val="0E0F5C46"/>
    <w:rsid w:val="0E105B1B"/>
    <w:rsid w:val="0E333EC4"/>
    <w:rsid w:val="0E33626B"/>
    <w:rsid w:val="0E421330"/>
    <w:rsid w:val="0E4F2BA0"/>
    <w:rsid w:val="0E524086"/>
    <w:rsid w:val="0E5416D8"/>
    <w:rsid w:val="0E5D2E2C"/>
    <w:rsid w:val="0E670435"/>
    <w:rsid w:val="0E786584"/>
    <w:rsid w:val="0E8B547D"/>
    <w:rsid w:val="0EC37B4A"/>
    <w:rsid w:val="0ECB5A0C"/>
    <w:rsid w:val="0ED50590"/>
    <w:rsid w:val="0ED543F8"/>
    <w:rsid w:val="0EE7610B"/>
    <w:rsid w:val="0EF1570E"/>
    <w:rsid w:val="0F1B36EB"/>
    <w:rsid w:val="0F453315"/>
    <w:rsid w:val="0F46284A"/>
    <w:rsid w:val="0F4E1568"/>
    <w:rsid w:val="0FA11F39"/>
    <w:rsid w:val="0FD91EF8"/>
    <w:rsid w:val="0FE27512"/>
    <w:rsid w:val="0FF83992"/>
    <w:rsid w:val="10016C77"/>
    <w:rsid w:val="103B0865"/>
    <w:rsid w:val="104860B1"/>
    <w:rsid w:val="1071611A"/>
    <w:rsid w:val="10787F0D"/>
    <w:rsid w:val="10CD7763"/>
    <w:rsid w:val="10D76DDD"/>
    <w:rsid w:val="110044A9"/>
    <w:rsid w:val="11023BF9"/>
    <w:rsid w:val="11385581"/>
    <w:rsid w:val="11392E2B"/>
    <w:rsid w:val="11511AB3"/>
    <w:rsid w:val="11615E97"/>
    <w:rsid w:val="11727B48"/>
    <w:rsid w:val="118B05ED"/>
    <w:rsid w:val="118C0D5D"/>
    <w:rsid w:val="119418A8"/>
    <w:rsid w:val="11C54279"/>
    <w:rsid w:val="11C6535E"/>
    <w:rsid w:val="11DC3FFA"/>
    <w:rsid w:val="11DD2810"/>
    <w:rsid w:val="11F319A8"/>
    <w:rsid w:val="120F44BA"/>
    <w:rsid w:val="1235520E"/>
    <w:rsid w:val="12442042"/>
    <w:rsid w:val="127528BE"/>
    <w:rsid w:val="12B622AF"/>
    <w:rsid w:val="12B80D75"/>
    <w:rsid w:val="12C10FA6"/>
    <w:rsid w:val="12D03980"/>
    <w:rsid w:val="13100184"/>
    <w:rsid w:val="132F798F"/>
    <w:rsid w:val="13355251"/>
    <w:rsid w:val="136E3579"/>
    <w:rsid w:val="137859F1"/>
    <w:rsid w:val="13D51440"/>
    <w:rsid w:val="13E16988"/>
    <w:rsid w:val="13EB5D13"/>
    <w:rsid w:val="14167F67"/>
    <w:rsid w:val="143954FF"/>
    <w:rsid w:val="14450641"/>
    <w:rsid w:val="145314CB"/>
    <w:rsid w:val="14776309"/>
    <w:rsid w:val="147D4B6F"/>
    <w:rsid w:val="14914957"/>
    <w:rsid w:val="14B7301A"/>
    <w:rsid w:val="14BF1986"/>
    <w:rsid w:val="14D10FF9"/>
    <w:rsid w:val="14D3640E"/>
    <w:rsid w:val="14E4055A"/>
    <w:rsid w:val="14F30D2F"/>
    <w:rsid w:val="14F9465A"/>
    <w:rsid w:val="15266C79"/>
    <w:rsid w:val="152A615A"/>
    <w:rsid w:val="154E0CE4"/>
    <w:rsid w:val="15603254"/>
    <w:rsid w:val="1586303F"/>
    <w:rsid w:val="15AB5403"/>
    <w:rsid w:val="15D05B4B"/>
    <w:rsid w:val="15DF23D8"/>
    <w:rsid w:val="15E11F12"/>
    <w:rsid w:val="15F1157B"/>
    <w:rsid w:val="15F74AD8"/>
    <w:rsid w:val="15FA42FE"/>
    <w:rsid w:val="15FA6C7F"/>
    <w:rsid w:val="16053DFB"/>
    <w:rsid w:val="16065A49"/>
    <w:rsid w:val="160A46E2"/>
    <w:rsid w:val="162D153F"/>
    <w:rsid w:val="163D44D8"/>
    <w:rsid w:val="163E70B0"/>
    <w:rsid w:val="16501A53"/>
    <w:rsid w:val="16624A01"/>
    <w:rsid w:val="16665198"/>
    <w:rsid w:val="166912F3"/>
    <w:rsid w:val="167318AC"/>
    <w:rsid w:val="16982E49"/>
    <w:rsid w:val="169F30F1"/>
    <w:rsid w:val="16AF71AE"/>
    <w:rsid w:val="16CC2274"/>
    <w:rsid w:val="16F969DB"/>
    <w:rsid w:val="16FE3AF9"/>
    <w:rsid w:val="170560BD"/>
    <w:rsid w:val="172C30FA"/>
    <w:rsid w:val="1732695F"/>
    <w:rsid w:val="174D4739"/>
    <w:rsid w:val="1754627A"/>
    <w:rsid w:val="1763519C"/>
    <w:rsid w:val="17816599"/>
    <w:rsid w:val="17824195"/>
    <w:rsid w:val="17A62A41"/>
    <w:rsid w:val="17BF0399"/>
    <w:rsid w:val="17F635EE"/>
    <w:rsid w:val="17FC104E"/>
    <w:rsid w:val="18031939"/>
    <w:rsid w:val="18034AE5"/>
    <w:rsid w:val="180A08F7"/>
    <w:rsid w:val="181D2B9D"/>
    <w:rsid w:val="181F7B8B"/>
    <w:rsid w:val="1829499E"/>
    <w:rsid w:val="18512744"/>
    <w:rsid w:val="185C5384"/>
    <w:rsid w:val="1862703F"/>
    <w:rsid w:val="18632B02"/>
    <w:rsid w:val="187B3BE0"/>
    <w:rsid w:val="187D3DF7"/>
    <w:rsid w:val="18800E41"/>
    <w:rsid w:val="18875BEA"/>
    <w:rsid w:val="1898016B"/>
    <w:rsid w:val="189955F5"/>
    <w:rsid w:val="18A722ED"/>
    <w:rsid w:val="18AA109F"/>
    <w:rsid w:val="18B32A1F"/>
    <w:rsid w:val="18B55A88"/>
    <w:rsid w:val="18BB77F6"/>
    <w:rsid w:val="18C36A59"/>
    <w:rsid w:val="18C36A86"/>
    <w:rsid w:val="18CF023C"/>
    <w:rsid w:val="18E03DC8"/>
    <w:rsid w:val="18EB4230"/>
    <w:rsid w:val="190C3910"/>
    <w:rsid w:val="1945097B"/>
    <w:rsid w:val="19613315"/>
    <w:rsid w:val="196F5456"/>
    <w:rsid w:val="19733416"/>
    <w:rsid w:val="19877F4E"/>
    <w:rsid w:val="19981F84"/>
    <w:rsid w:val="19AE4AFA"/>
    <w:rsid w:val="19E860C2"/>
    <w:rsid w:val="1A11082A"/>
    <w:rsid w:val="1A146ABF"/>
    <w:rsid w:val="1A2B60F7"/>
    <w:rsid w:val="1A375D70"/>
    <w:rsid w:val="1A641854"/>
    <w:rsid w:val="1A750245"/>
    <w:rsid w:val="1A7E69D7"/>
    <w:rsid w:val="1A990D2E"/>
    <w:rsid w:val="1A9F4059"/>
    <w:rsid w:val="1AA52837"/>
    <w:rsid w:val="1ABB4317"/>
    <w:rsid w:val="1AD6715B"/>
    <w:rsid w:val="1AEF38AD"/>
    <w:rsid w:val="1B3D0FC9"/>
    <w:rsid w:val="1B47669C"/>
    <w:rsid w:val="1B59213E"/>
    <w:rsid w:val="1B7306D4"/>
    <w:rsid w:val="1B841374"/>
    <w:rsid w:val="1BB0041A"/>
    <w:rsid w:val="1BCD092A"/>
    <w:rsid w:val="1BD63F15"/>
    <w:rsid w:val="1BE04CA5"/>
    <w:rsid w:val="1BE15F1B"/>
    <w:rsid w:val="1BE92B9B"/>
    <w:rsid w:val="1BF50215"/>
    <w:rsid w:val="1C0A3C3F"/>
    <w:rsid w:val="1C0F19AF"/>
    <w:rsid w:val="1C3F5253"/>
    <w:rsid w:val="1C5859DF"/>
    <w:rsid w:val="1C765A4B"/>
    <w:rsid w:val="1CBD3ED4"/>
    <w:rsid w:val="1CCF2DB1"/>
    <w:rsid w:val="1CED33C8"/>
    <w:rsid w:val="1D2624D8"/>
    <w:rsid w:val="1D277A61"/>
    <w:rsid w:val="1D47095C"/>
    <w:rsid w:val="1D472163"/>
    <w:rsid w:val="1D67090B"/>
    <w:rsid w:val="1D8A36EB"/>
    <w:rsid w:val="1D927064"/>
    <w:rsid w:val="1DA22710"/>
    <w:rsid w:val="1DC629C7"/>
    <w:rsid w:val="1DC82B10"/>
    <w:rsid w:val="1E056D48"/>
    <w:rsid w:val="1E3E43C2"/>
    <w:rsid w:val="1EAF1299"/>
    <w:rsid w:val="1EB069B5"/>
    <w:rsid w:val="1EBA7E88"/>
    <w:rsid w:val="1EBD13DE"/>
    <w:rsid w:val="1F096A6C"/>
    <w:rsid w:val="1F1B443F"/>
    <w:rsid w:val="1F2B1744"/>
    <w:rsid w:val="1F3B5C66"/>
    <w:rsid w:val="1F400A6D"/>
    <w:rsid w:val="1F634C4F"/>
    <w:rsid w:val="1F8E07D8"/>
    <w:rsid w:val="1F977D11"/>
    <w:rsid w:val="1F9E0ED3"/>
    <w:rsid w:val="1FB74E87"/>
    <w:rsid w:val="1FBA6643"/>
    <w:rsid w:val="1FCE2880"/>
    <w:rsid w:val="1FE93AAD"/>
    <w:rsid w:val="20157A89"/>
    <w:rsid w:val="201C36BC"/>
    <w:rsid w:val="20212485"/>
    <w:rsid w:val="20224F17"/>
    <w:rsid w:val="202456AB"/>
    <w:rsid w:val="204075E1"/>
    <w:rsid w:val="208809CB"/>
    <w:rsid w:val="20A76CE9"/>
    <w:rsid w:val="20EA1FD3"/>
    <w:rsid w:val="21216266"/>
    <w:rsid w:val="21306D04"/>
    <w:rsid w:val="214A691E"/>
    <w:rsid w:val="214E7658"/>
    <w:rsid w:val="21506153"/>
    <w:rsid w:val="217B0772"/>
    <w:rsid w:val="21AC3247"/>
    <w:rsid w:val="21AF402A"/>
    <w:rsid w:val="21B55BF5"/>
    <w:rsid w:val="21F14924"/>
    <w:rsid w:val="220C1516"/>
    <w:rsid w:val="22251365"/>
    <w:rsid w:val="22275D8B"/>
    <w:rsid w:val="22284197"/>
    <w:rsid w:val="223432BC"/>
    <w:rsid w:val="22411F1B"/>
    <w:rsid w:val="225007F7"/>
    <w:rsid w:val="226600A0"/>
    <w:rsid w:val="226A230A"/>
    <w:rsid w:val="22720D4C"/>
    <w:rsid w:val="228259A8"/>
    <w:rsid w:val="228907BA"/>
    <w:rsid w:val="22A30735"/>
    <w:rsid w:val="22A57E5D"/>
    <w:rsid w:val="22BC640B"/>
    <w:rsid w:val="22C5455D"/>
    <w:rsid w:val="2356705F"/>
    <w:rsid w:val="23721814"/>
    <w:rsid w:val="23AC514E"/>
    <w:rsid w:val="23E0301E"/>
    <w:rsid w:val="23FD185D"/>
    <w:rsid w:val="24110E9C"/>
    <w:rsid w:val="24427A9F"/>
    <w:rsid w:val="245D0648"/>
    <w:rsid w:val="2491102A"/>
    <w:rsid w:val="24A27661"/>
    <w:rsid w:val="24B03CC6"/>
    <w:rsid w:val="24D669BA"/>
    <w:rsid w:val="24D76722"/>
    <w:rsid w:val="24FC758C"/>
    <w:rsid w:val="25007ACF"/>
    <w:rsid w:val="25076E08"/>
    <w:rsid w:val="25197201"/>
    <w:rsid w:val="251B2DA8"/>
    <w:rsid w:val="2523412B"/>
    <w:rsid w:val="25237EB1"/>
    <w:rsid w:val="252E6160"/>
    <w:rsid w:val="25560E2B"/>
    <w:rsid w:val="25590D82"/>
    <w:rsid w:val="25D064AF"/>
    <w:rsid w:val="25FB08BC"/>
    <w:rsid w:val="260757E5"/>
    <w:rsid w:val="2607601D"/>
    <w:rsid w:val="26117E35"/>
    <w:rsid w:val="261D0800"/>
    <w:rsid w:val="26296634"/>
    <w:rsid w:val="2648069E"/>
    <w:rsid w:val="269E73F9"/>
    <w:rsid w:val="26A5138C"/>
    <w:rsid w:val="26AB7E98"/>
    <w:rsid w:val="26B416C2"/>
    <w:rsid w:val="26C37857"/>
    <w:rsid w:val="26C93F4A"/>
    <w:rsid w:val="26EB766B"/>
    <w:rsid w:val="27032BDA"/>
    <w:rsid w:val="27061A33"/>
    <w:rsid w:val="270F6A39"/>
    <w:rsid w:val="272E5CD2"/>
    <w:rsid w:val="274A030B"/>
    <w:rsid w:val="27660381"/>
    <w:rsid w:val="277F6414"/>
    <w:rsid w:val="27845F57"/>
    <w:rsid w:val="278520F3"/>
    <w:rsid w:val="278C4416"/>
    <w:rsid w:val="27910B73"/>
    <w:rsid w:val="279C02BF"/>
    <w:rsid w:val="279E2687"/>
    <w:rsid w:val="27A20548"/>
    <w:rsid w:val="27AC7CDD"/>
    <w:rsid w:val="27BB03F2"/>
    <w:rsid w:val="28011F16"/>
    <w:rsid w:val="28021E95"/>
    <w:rsid w:val="280D671C"/>
    <w:rsid w:val="282B109F"/>
    <w:rsid w:val="28496B96"/>
    <w:rsid w:val="284C5F39"/>
    <w:rsid w:val="284C652E"/>
    <w:rsid w:val="28663D2E"/>
    <w:rsid w:val="287D2901"/>
    <w:rsid w:val="28B43BB8"/>
    <w:rsid w:val="28C724A9"/>
    <w:rsid w:val="28FD3F1F"/>
    <w:rsid w:val="29125796"/>
    <w:rsid w:val="291A1326"/>
    <w:rsid w:val="29262A4D"/>
    <w:rsid w:val="29403257"/>
    <w:rsid w:val="29564161"/>
    <w:rsid w:val="296E227B"/>
    <w:rsid w:val="297A079F"/>
    <w:rsid w:val="298C2A28"/>
    <w:rsid w:val="29907099"/>
    <w:rsid w:val="29C74B94"/>
    <w:rsid w:val="29D4632D"/>
    <w:rsid w:val="29F35625"/>
    <w:rsid w:val="2A105628"/>
    <w:rsid w:val="2A1F3808"/>
    <w:rsid w:val="2A201050"/>
    <w:rsid w:val="2A494203"/>
    <w:rsid w:val="2A550A0E"/>
    <w:rsid w:val="2A567C66"/>
    <w:rsid w:val="2A8079AA"/>
    <w:rsid w:val="2A9B3F8B"/>
    <w:rsid w:val="2AB3331B"/>
    <w:rsid w:val="2AB70FF4"/>
    <w:rsid w:val="2ABF7DF3"/>
    <w:rsid w:val="2AC476CF"/>
    <w:rsid w:val="2ACB7762"/>
    <w:rsid w:val="2AE46E61"/>
    <w:rsid w:val="2AF553B5"/>
    <w:rsid w:val="2AFB155A"/>
    <w:rsid w:val="2B3877FA"/>
    <w:rsid w:val="2B47021C"/>
    <w:rsid w:val="2B5B3325"/>
    <w:rsid w:val="2B6426C8"/>
    <w:rsid w:val="2B6B63D1"/>
    <w:rsid w:val="2B8A147E"/>
    <w:rsid w:val="2BB72684"/>
    <w:rsid w:val="2BB76767"/>
    <w:rsid w:val="2BCA370B"/>
    <w:rsid w:val="2BCB2E0A"/>
    <w:rsid w:val="2BD951E0"/>
    <w:rsid w:val="2BE20B5C"/>
    <w:rsid w:val="2BEB4D8D"/>
    <w:rsid w:val="2C0636A2"/>
    <w:rsid w:val="2C095F74"/>
    <w:rsid w:val="2C1D3B68"/>
    <w:rsid w:val="2C27691F"/>
    <w:rsid w:val="2C2836CB"/>
    <w:rsid w:val="2C3961FD"/>
    <w:rsid w:val="2C5E0BF9"/>
    <w:rsid w:val="2C6B48B5"/>
    <w:rsid w:val="2C740608"/>
    <w:rsid w:val="2C942F73"/>
    <w:rsid w:val="2C981529"/>
    <w:rsid w:val="2CC67930"/>
    <w:rsid w:val="2CC959FA"/>
    <w:rsid w:val="2CE46390"/>
    <w:rsid w:val="2CE86E57"/>
    <w:rsid w:val="2CF70433"/>
    <w:rsid w:val="2D00339E"/>
    <w:rsid w:val="2D096F87"/>
    <w:rsid w:val="2D0D02BD"/>
    <w:rsid w:val="2D1C0465"/>
    <w:rsid w:val="2D211A0E"/>
    <w:rsid w:val="2D2B7AEE"/>
    <w:rsid w:val="2D3F11A6"/>
    <w:rsid w:val="2D491F3C"/>
    <w:rsid w:val="2D564730"/>
    <w:rsid w:val="2D696F6E"/>
    <w:rsid w:val="2D7D3D5B"/>
    <w:rsid w:val="2D990EAC"/>
    <w:rsid w:val="2D9A5DE2"/>
    <w:rsid w:val="2D9B6477"/>
    <w:rsid w:val="2DC42589"/>
    <w:rsid w:val="2DCE7250"/>
    <w:rsid w:val="2DD41AF8"/>
    <w:rsid w:val="2DD642AE"/>
    <w:rsid w:val="2DDD39CC"/>
    <w:rsid w:val="2DF04AEF"/>
    <w:rsid w:val="2E056895"/>
    <w:rsid w:val="2E1E1932"/>
    <w:rsid w:val="2E473F01"/>
    <w:rsid w:val="2E4C77C5"/>
    <w:rsid w:val="2E64031C"/>
    <w:rsid w:val="2E8F1EC7"/>
    <w:rsid w:val="2E952837"/>
    <w:rsid w:val="2EA32535"/>
    <w:rsid w:val="2EAD57CA"/>
    <w:rsid w:val="2ED82FE1"/>
    <w:rsid w:val="2EE22170"/>
    <w:rsid w:val="2F211A7B"/>
    <w:rsid w:val="2F545DF9"/>
    <w:rsid w:val="2F5E0CB7"/>
    <w:rsid w:val="2F601896"/>
    <w:rsid w:val="2F7655C8"/>
    <w:rsid w:val="2FBE4F37"/>
    <w:rsid w:val="2FCE6A56"/>
    <w:rsid w:val="2FF013E0"/>
    <w:rsid w:val="301E49E6"/>
    <w:rsid w:val="30245F00"/>
    <w:rsid w:val="302A54E0"/>
    <w:rsid w:val="303F01C3"/>
    <w:rsid w:val="305F20DA"/>
    <w:rsid w:val="30B93E20"/>
    <w:rsid w:val="30C04B7B"/>
    <w:rsid w:val="30C15A47"/>
    <w:rsid w:val="30D41320"/>
    <w:rsid w:val="30EA5A63"/>
    <w:rsid w:val="30F96DE1"/>
    <w:rsid w:val="31377FBF"/>
    <w:rsid w:val="31634184"/>
    <w:rsid w:val="316F55A4"/>
    <w:rsid w:val="31911776"/>
    <w:rsid w:val="31A535A9"/>
    <w:rsid w:val="31B8578F"/>
    <w:rsid w:val="31BE7DED"/>
    <w:rsid w:val="31D914E8"/>
    <w:rsid w:val="31E05ABE"/>
    <w:rsid w:val="32341C8E"/>
    <w:rsid w:val="3236419E"/>
    <w:rsid w:val="3239103A"/>
    <w:rsid w:val="32435E60"/>
    <w:rsid w:val="32720159"/>
    <w:rsid w:val="32852C05"/>
    <w:rsid w:val="32874335"/>
    <w:rsid w:val="32A43DB5"/>
    <w:rsid w:val="32AC06D0"/>
    <w:rsid w:val="32AF24C7"/>
    <w:rsid w:val="32B05FCE"/>
    <w:rsid w:val="32B42DCD"/>
    <w:rsid w:val="32C34875"/>
    <w:rsid w:val="32C6441A"/>
    <w:rsid w:val="32CB6CDE"/>
    <w:rsid w:val="32F46AC4"/>
    <w:rsid w:val="330868AF"/>
    <w:rsid w:val="33795AC1"/>
    <w:rsid w:val="339F5634"/>
    <w:rsid w:val="33AA03B4"/>
    <w:rsid w:val="33AA3434"/>
    <w:rsid w:val="33C4072D"/>
    <w:rsid w:val="33DF5BF5"/>
    <w:rsid w:val="33EB0E79"/>
    <w:rsid w:val="33F41A5C"/>
    <w:rsid w:val="34343BC9"/>
    <w:rsid w:val="343D0729"/>
    <w:rsid w:val="34557D1F"/>
    <w:rsid w:val="34665F40"/>
    <w:rsid w:val="346B5A60"/>
    <w:rsid w:val="348D0CFB"/>
    <w:rsid w:val="349C284E"/>
    <w:rsid w:val="350A0F1B"/>
    <w:rsid w:val="35117A44"/>
    <w:rsid w:val="35191613"/>
    <w:rsid w:val="351A7202"/>
    <w:rsid w:val="352C59B0"/>
    <w:rsid w:val="352D303A"/>
    <w:rsid w:val="353F4462"/>
    <w:rsid w:val="35B72D78"/>
    <w:rsid w:val="35BB5D1B"/>
    <w:rsid w:val="35D912EA"/>
    <w:rsid w:val="35FB5A2E"/>
    <w:rsid w:val="35FF153A"/>
    <w:rsid w:val="36007CB0"/>
    <w:rsid w:val="361757CE"/>
    <w:rsid w:val="36906397"/>
    <w:rsid w:val="36965579"/>
    <w:rsid w:val="36A21208"/>
    <w:rsid w:val="36B639BE"/>
    <w:rsid w:val="36B86848"/>
    <w:rsid w:val="36CD005F"/>
    <w:rsid w:val="36CE6E2E"/>
    <w:rsid w:val="36DF51A4"/>
    <w:rsid w:val="36DF5796"/>
    <w:rsid w:val="3705737F"/>
    <w:rsid w:val="371530C4"/>
    <w:rsid w:val="371B3F78"/>
    <w:rsid w:val="37730425"/>
    <w:rsid w:val="37827115"/>
    <w:rsid w:val="378D24DA"/>
    <w:rsid w:val="379C47AF"/>
    <w:rsid w:val="37A8202C"/>
    <w:rsid w:val="37C01088"/>
    <w:rsid w:val="37F07556"/>
    <w:rsid w:val="388A6A23"/>
    <w:rsid w:val="38C50A87"/>
    <w:rsid w:val="38E47C46"/>
    <w:rsid w:val="38ED2D3F"/>
    <w:rsid w:val="391C1375"/>
    <w:rsid w:val="39333CA2"/>
    <w:rsid w:val="393D0111"/>
    <w:rsid w:val="396E7CF9"/>
    <w:rsid w:val="39E77349"/>
    <w:rsid w:val="39ED5C3C"/>
    <w:rsid w:val="3A000AD7"/>
    <w:rsid w:val="3A135A07"/>
    <w:rsid w:val="3A1A0893"/>
    <w:rsid w:val="3A2F2154"/>
    <w:rsid w:val="3A310B81"/>
    <w:rsid w:val="3ABC1171"/>
    <w:rsid w:val="3AD37BCA"/>
    <w:rsid w:val="3AD92AC6"/>
    <w:rsid w:val="3ADC047B"/>
    <w:rsid w:val="3AE27819"/>
    <w:rsid w:val="3AF45FCE"/>
    <w:rsid w:val="3B451597"/>
    <w:rsid w:val="3B7255CF"/>
    <w:rsid w:val="3B995940"/>
    <w:rsid w:val="3BAB3F38"/>
    <w:rsid w:val="3BBA3271"/>
    <w:rsid w:val="3BDC24CE"/>
    <w:rsid w:val="3C0274CE"/>
    <w:rsid w:val="3C0D260A"/>
    <w:rsid w:val="3C1C266E"/>
    <w:rsid w:val="3C2313D7"/>
    <w:rsid w:val="3C311C06"/>
    <w:rsid w:val="3C4714FC"/>
    <w:rsid w:val="3C4A52DF"/>
    <w:rsid w:val="3C5502A8"/>
    <w:rsid w:val="3CC44621"/>
    <w:rsid w:val="3CC71047"/>
    <w:rsid w:val="3CC82600"/>
    <w:rsid w:val="3CCF5219"/>
    <w:rsid w:val="3CD27A47"/>
    <w:rsid w:val="3CDE2D43"/>
    <w:rsid w:val="3CE2693A"/>
    <w:rsid w:val="3D027869"/>
    <w:rsid w:val="3D0379F4"/>
    <w:rsid w:val="3D0E1D8B"/>
    <w:rsid w:val="3D254705"/>
    <w:rsid w:val="3D3C1183"/>
    <w:rsid w:val="3D602524"/>
    <w:rsid w:val="3D6D011D"/>
    <w:rsid w:val="3D6F2B12"/>
    <w:rsid w:val="3DA93B0E"/>
    <w:rsid w:val="3DB6759A"/>
    <w:rsid w:val="3DB95F9C"/>
    <w:rsid w:val="3DF62C14"/>
    <w:rsid w:val="3E030DE2"/>
    <w:rsid w:val="3E1A21E6"/>
    <w:rsid w:val="3E201033"/>
    <w:rsid w:val="3E497C6C"/>
    <w:rsid w:val="3E5E5EEA"/>
    <w:rsid w:val="3E611121"/>
    <w:rsid w:val="3E6507B7"/>
    <w:rsid w:val="3E880A41"/>
    <w:rsid w:val="3E9357EC"/>
    <w:rsid w:val="3ED83A4F"/>
    <w:rsid w:val="3EED136A"/>
    <w:rsid w:val="3F0A611D"/>
    <w:rsid w:val="3F136CEE"/>
    <w:rsid w:val="3F673195"/>
    <w:rsid w:val="3F831FA4"/>
    <w:rsid w:val="3F91698E"/>
    <w:rsid w:val="3FA008AC"/>
    <w:rsid w:val="3FA10965"/>
    <w:rsid w:val="3FA35063"/>
    <w:rsid w:val="3FBD386F"/>
    <w:rsid w:val="3FBE09E7"/>
    <w:rsid w:val="3FD17D95"/>
    <w:rsid w:val="3FD25E5E"/>
    <w:rsid w:val="3FDF27BE"/>
    <w:rsid w:val="3FE47E85"/>
    <w:rsid w:val="3FFB130D"/>
    <w:rsid w:val="400D474C"/>
    <w:rsid w:val="4010795F"/>
    <w:rsid w:val="40292635"/>
    <w:rsid w:val="402A0687"/>
    <w:rsid w:val="40357230"/>
    <w:rsid w:val="403E1D1D"/>
    <w:rsid w:val="4049256A"/>
    <w:rsid w:val="408F213C"/>
    <w:rsid w:val="40AE4067"/>
    <w:rsid w:val="40CD059F"/>
    <w:rsid w:val="40D81E1E"/>
    <w:rsid w:val="4133324E"/>
    <w:rsid w:val="414714E7"/>
    <w:rsid w:val="414C6FC1"/>
    <w:rsid w:val="415F2A53"/>
    <w:rsid w:val="41690F92"/>
    <w:rsid w:val="4169684F"/>
    <w:rsid w:val="416C25E5"/>
    <w:rsid w:val="41706924"/>
    <w:rsid w:val="418A18B1"/>
    <w:rsid w:val="41917633"/>
    <w:rsid w:val="419B262A"/>
    <w:rsid w:val="41B845A8"/>
    <w:rsid w:val="41E85FF3"/>
    <w:rsid w:val="42003BAF"/>
    <w:rsid w:val="420B12FA"/>
    <w:rsid w:val="421113DC"/>
    <w:rsid w:val="42124D6D"/>
    <w:rsid w:val="4257553C"/>
    <w:rsid w:val="426328C8"/>
    <w:rsid w:val="42664031"/>
    <w:rsid w:val="42782188"/>
    <w:rsid w:val="42810108"/>
    <w:rsid w:val="4291098A"/>
    <w:rsid w:val="42932BD6"/>
    <w:rsid w:val="4297476E"/>
    <w:rsid w:val="42BD6483"/>
    <w:rsid w:val="42C939F0"/>
    <w:rsid w:val="42E76582"/>
    <w:rsid w:val="430E7C83"/>
    <w:rsid w:val="431164DB"/>
    <w:rsid w:val="43505326"/>
    <w:rsid w:val="4363261E"/>
    <w:rsid w:val="43641323"/>
    <w:rsid w:val="439701D2"/>
    <w:rsid w:val="43976599"/>
    <w:rsid w:val="43BD7ABD"/>
    <w:rsid w:val="43C00807"/>
    <w:rsid w:val="43D02EA5"/>
    <w:rsid w:val="43D917BF"/>
    <w:rsid w:val="43DB23FE"/>
    <w:rsid w:val="440010F4"/>
    <w:rsid w:val="4427285E"/>
    <w:rsid w:val="442E44AC"/>
    <w:rsid w:val="44437AEC"/>
    <w:rsid w:val="445952EB"/>
    <w:rsid w:val="445B330A"/>
    <w:rsid w:val="445D419E"/>
    <w:rsid w:val="44666F00"/>
    <w:rsid w:val="448B0D0B"/>
    <w:rsid w:val="44A27DCA"/>
    <w:rsid w:val="44AD6ED3"/>
    <w:rsid w:val="44B42801"/>
    <w:rsid w:val="44BA23E0"/>
    <w:rsid w:val="44CA071F"/>
    <w:rsid w:val="44DB22A5"/>
    <w:rsid w:val="44E539A1"/>
    <w:rsid w:val="45045B83"/>
    <w:rsid w:val="45152D4E"/>
    <w:rsid w:val="45433198"/>
    <w:rsid w:val="454A6A20"/>
    <w:rsid w:val="45605163"/>
    <w:rsid w:val="456F23DB"/>
    <w:rsid w:val="45910CB8"/>
    <w:rsid w:val="45A03AC6"/>
    <w:rsid w:val="45A62619"/>
    <w:rsid w:val="45B42F95"/>
    <w:rsid w:val="45C56A5D"/>
    <w:rsid w:val="45CC388F"/>
    <w:rsid w:val="45E01BC0"/>
    <w:rsid w:val="45E47C7D"/>
    <w:rsid w:val="45F34DBA"/>
    <w:rsid w:val="45F72AA5"/>
    <w:rsid w:val="46064D70"/>
    <w:rsid w:val="46281CF5"/>
    <w:rsid w:val="462A6BAC"/>
    <w:rsid w:val="463B39FE"/>
    <w:rsid w:val="463F183D"/>
    <w:rsid w:val="46526BB8"/>
    <w:rsid w:val="465341FE"/>
    <w:rsid w:val="46851006"/>
    <w:rsid w:val="46B01368"/>
    <w:rsid w:val="46BB4E68"/>
    <w:rsid w:val="46D93D66"/>
    <w:rsid w:val="46F65EAA"/>
    <w:rsid w:val="4703102D"/>
    <w:rsid w:val="471C4B1E"/>
    <w:rsid w:val="47267899"/>
    <w:rsid w:val="4738244A"/>
    <w:rsid w:val="474772C2"/>
    <w:rsid w:val="474C3DAD"/>
    <w:rsid w:val="47514DB3"/>
    <w:rsid w:val="476641CD"/>
    <w:rsid w:val="478E50C0"/>
    <w:rsid w:val="479020B7"/>
    <w:rsid w:val="479A3D52"/>
    <w:rsid w:val="47C214EC"/>
    <w:rsid w:val="47CE73CA"/>
    <w:rsid w:val="47D118F0"/>
    <w:rsid w:val="47E91413"/>
    <w:rsid w:val="48190848"/>
    <w:rsid w:val="486047F6"/>
    <w:rsid w:val="487655D5"/>
    <w:rsid w:val="48877A3B"/>
    <w:rsid w:val="489659F0"/>
    <w:rsid w:val="48AD722D"/>
    <w:rsid w:val="48B41F43"/>
    <w:rsid w:val="48B642D2"/>
    <w:rsid w:val="48E617AE"/>
    <w:rsid w:val="48F52954"/>
    <w:rsid w:val="490D658D"/>
    <w:rsid w:val="491A2328"/>
    <w:rsid w:val="49330F3D"/>
    <w:rsid w:val="49905F9A"/>
    <w:rsid w:val="49954305"/>
    <w:rsid w:val="49C70D19"/>
    <w:rsid w:val="4A1325CF"/>
    <w:rsid w:val="4A1F688F"/>
    <w:rsid w:val="4A2363CD"/>
    <w:rsid w:val="4A4153E4"/>
    <w:rsid w:val="4A6059DF"/>
    <w:rsid w:val="4A8D5260"/>
    <w:rsid w:val="4A94428F"/>
    <w:rsid w:val="4A991815"/>
    <w:rsid w:val="4A996342"/>
    <w:rsid w:val="4A9A6B8D"/>
    <w:rsid w:val="4A9D4050"/>
    <w:rsid w:val="4AB00A92"/>
    <w:rsid w:val="4AB3556B"/>
    <w:rsid w:val="4AC90CF6"/>
    <w:rsid w:val="4AF96A9A"/>
    <w:rsid w:val="4B110435"/>
    <w:rsid w:val="4B162D55"/>
    <w:rsid w:val="4B265C90"/>
    <w:rsid w:val="4B4C06F4"/>
    <w:rsid w:val="4B575C99"/>
    <w:rsid w:val="4B580365"/>
    <w:rsid w:val="4B5B1F89"/>
    <w:rsid w:val="4B64702B"/>
    <w:rsid w:val="4B7F6317"/>
    <w:rsid w:val="4B855E96"/>
    <w:rsid w:val="4BBF4500"/>
    <w:rsid w:val="4BDB0692"/>
    <w:rsid w:val="4BE004A1"/>
    <w:rsid w:val="4BE2600B"/>
    <w:rsid w:val="4C015AB5"/>
    <w:rsid w:val="4C021D28"/>
    <w:rsid w:val="4C0342AD"/>
    <w:rsid w:val="4C5222A0"/>
    <w:rsid w:val="4C5B1577"/>
    <w:rsid w:val="4CD92856"/>
    <w:rsid w:val="4CE64A02"/>
    <w:rsid w:val="4D0B3C71"/>
    <w:rsid w:val="4D263C45"/>
    <w:rsid w:val="4D753276"/>
    <w:rsid w:val="4D9E0836"/>
    <w:rsid w:val="4DC31A6C"/>
    <w:rsid w:val="4DCC08EF"/>
    <w:rsid w:val="4DF2341D"/>
    <w:rsid w:val="4E1565D4"/>
    <w:rsid w:val="4E1C664C"/>
    <w:rsid w:val="4E2A2753"/>
    <w:rsid w:val="4E8A45AE"/>
    <w:rsid w:val="4EA32EF0"/>
    <w:rsid w:val="4EC9447B"/>
    <w:rsid w:val="4ECB5E85"/>
    <w:rsid w:val="4ED64D06"/>
    <w:rsid w:val="4EDF7A4A"/>
    <w:rsid w:val="4F426833"/>
    <w:rsid w:val="4FA14BDC"/>
    <w:rsid w:val="4FC30B36"/>
    <w:rsid w:val="4FC97AD5"/>
    <w:rsid w:val="4FE41537"/>
    <w:rsid w:val="4FF45DED"/>
    <w:rsid w:val="502616D2"/>
    <w:rsid w:val="50430D7D"/>
    <w:rsid w:val="50437DE6"/>
    <w:rsid w:val="50732F54"/>
    <w:rsid w:val="50A61B5B"/>
    <w:rsid w:val="50B5499F"/>
    <w:rsid w:val="50BD2F9D"/>
    <w:rsid w:val="50CD41D9"/>
    <w:rsid w:val="510518E8"/>
    <w:rsid w:val="511C0FE9"/>
    <w:rsid w:val="517C537C"/>
    <w:rsid w:val="518B35DD"/>
    <w:rsid w:val="51971524"/>
    <w:rsid w:val="51996158"/>
    <w:rsid w:val="51BD270C"/>
    <w:rsid w:val="51C040C7"/>
    <w:rsid w:val="51C306C3"/>
    <w:rsid w:val="51DE4ED5"/>
    <w:rsid w:val="52020624"/>
    <w:rsid w:val="520C0798"/>
    <w:rsid w:val="523F1387"/>
    <w:rsid w:val="5251203E"/>
    <w:rsid w:val="5260666A"/>
    <w:rsid w:val="527D3F0A"/>
    <w:rsid w:val="529B4C65"/>
    <w:rsid w:val="529F77A5"/>
    <w:rsid w:val="52A0607D"/>
    <w:rsid w:val="52B21A61"/>
    <w:rsid w:val="52B4334D"/>
    <w:rsid w:val="52DE102B"/>
    <w:rsid w:val="52E1056A"/>
    <w:rsid w:val="52E23675"/>
    <w:rsid w:val="52F67845"/>
    <w:rsid w:val="5337779B"/>
    <w:rsid w:val="53815EEB"/>
    <w:rsid w:val="53A93EC7"/>
    <w:rsid w:val="53B05799"/>
    <w:rsid w:val="53BE0301"/>
    <w:rsid w:val="53FB2AF4"/>
    <w:rsid w:val="53FC07CF"/>
    <w:rsid w:val="5402207E"/>
    <w:rsid w:val="540854F4"/>
    <w:rsid w:val="540C236D"/>
    <w:rsid w:val="541430CC"/>
    <w:rsid w:val="541F321E"/>
    <w:rsid w:val="542772BD"/>
    <w:rsid w:val="542A7193"/>
    <w:rsid w:val="54304D7B"/>
    <w:rsid w:val="54316AAD"/>
    <w:rsid w:val="54464C80"/>
    <w:rsid w:val="54495FA3"/>
    <w:rsid w:val="54501290"/>
    <w:rsid w:val="547421E2"/>
    <w:rsid w:val="548F2F4C"/>
    <w:rsid w:val="549010D8"/>
    <w:rsid w:val="54AD175F"/>
    <w:rsid w:val="54B1346F"/>
    <w:rsid w:val="54B526BC"/>
    <w:rsid w:val="54E610C2"/>
    <w:rsid w:val="55051E68"/>
    <w:rsid w:val="5527150B"/>
    <w:rsid w:val="554014D6"/>
    <w:rsid w:val="556E1B81"/>
    <w:rsid w:val="556F5C3E"/>
    <w:rsid w:val="557B43F5"/>
    <w:rsid w:val="55967510"/>
    <w:rsid w:val="559E4BF7"/>
    <w:rsid w:val="55B06E3C"/>
    <w:rsid w:val="55B25850"/>
    <w:rsid w:val="55C51942"/>
    <w:rsid w:val="55CE45B8"/>
    <w:rsid w:val="55CF2D36"/>
    <w:rsid w:val="55F23731"/>
    <w:rsid w:val="55F80EAA"/>
    <w:rsid w:val="56266191"/>
    <w:rsid w:val="5652083E"/>
    <w:rsid w:val="567046DD"/>
    <w:rsid w:val="569F3BB8"/>
    <w:rsid w:val="56A41F4F"/>
    <w:rsid w:val="56B04890"/>
    <w:rsid w:val="57030E00"/>
    <w:rsid w:val="57331D9D"/>
    <w:rsid w:val="57587909"/>
    <w:rsid w:val="575B1530"/>
    <w:rsid w:val="576669DB"/>
    <w:rsid w:val="5783353A"/>
    <w:rsid w:val="57A07652"/>
    <w:rsid w:val="57BB0E6B"/>
    <w:rsid w:val="57C63802"/>
    <w:rsid w:val="57C63EF8"/>
    <w:rsid w:val="57E21F69"/>
    <w:rsid w:val="57E81D41"/>
    <w:rsid w:val="57EA5005"/>
    <w:rsid w:val="57EC75C0"/>
    <w:rsid w:val="58276AF4"/>
    <w:rsid w:val="583601B4"/>
    <w:rsid w:val="585E5507"/>
    <w:rsid w:val="586E74D7"/>
    <w:rsid w:val="58796472"/>
    <w:rsid w:val="589868C2"/>
    <w:rsid w:val="58A53B44"/>
    <w:rsid w:val="58B97CFF"/>
    <w:rsid w:val="58C20EE7"/>
    <w:rsid w:val="58DC04CD"/>
    <w:rsid w:val="591370D3"/>
    <w:rsid w:val="594A36C5"/>
    <w:rsid w:val="595449FD"/>
    <w:rsid w:val="595E02B6"/>
    <w:rsid w:val="5961348F"/>
    <w:rsid w:val="597E57F2"/>
    <w:rsid w:val="598C16AE"/>
    <w:rsid w:val="59A06BA6"/>
    <w:rsid w:val="59D8727E"/>
    <w:rsid w:val="59E72B0F"/>
    <w:rsid w:val="59E85622"/>
    <w:rsid w:val="59F458DD"/>
    <w:rsid w:val="5A0F77BA"/>
    <w:rsid w:val="5A104ED2"/>
    <w:rsid w:val="5A242E9B"/>
    <w:rsid w:val="5A272F18"/>
    <w:rsid w:val="5A34571A"/>
    <w:rsid w:val="5A553466"/>
    <w:rsid w:val="5AA4121F"/>
    <w:rsid w:val="5ABA36E4"/>
    <w:rsid w:val="5AC63C6D"/>
    <w:rsid w:val="5AD23046"/>
    <w:rsid w:val="5ADC3CD5"/>
    <w:rsid w:val="5AF047FF"/>
    <w:rsid w:val="5B194006"/>
    <w:rsid w:val="5B4C3590"/>
    <w:rsid w:val="5B6634DD"/>
    <w:rsid w:val="5B673E38"/>
    <w:rsid w:val="5B6C3189"/>
    <w:rsid w:val="5BAD6061"/>
    <w:rsid w:val="5BB34D85"/>
    <w:rsid w:val="5BC373A2"/>
    <w:rsid w:val="5C217055"/>
    <w:rsid w:val="5C273CAB"/>
    <w:rsid w:val="5C3D447C"/>
    <w:rsid w:val="5C5B180E"/>
    <w:rsid w:val="5C627FF9"/>
    <w:rsid w:val="5C757A89"/>
    <w:rsid w:val="5C783C74"/>
    <w:rsid w:val="5C854D60"/>
    <w:rsid w:val="5C9532CC"/>
    <w:rsid w:val="5CCB29BA"/>
    <w:rsid w:val="5CCE1654"/>
    <w:rsid w:val="5CE73601"/>
    <w:rsid w:val="5D0D512D"/>
    <w:rsid w:val="5D105057"/>
    <w:rsid w:val="5D1421D9"/>
    <w:rsid w:val="5D275A7D"/>
    <w:rsid w:val="5D4E1AD5"/>
    <w:rsid w:val="5D5104E3"/>
    <w:rsid w:val="5D55585B"/>
    <w:rsid w:val="5D5F1384"/>
    <w:rsid w:val="5D662642"/>
    <w:rsid w:val="5D7233D1"/>
    <w:rsid w:val="5D9954A2"/>
    <w:rsid w:val="5DAB1771"/>
    <w:rsid w:val="5DAE0548"/>
    <w:rsid w:val="5DB56126"/>
    <w:rsid w:val="5DC46140"/>
    <w:rsid w:val="5DCF3F65"/>
    <w:rsid w:val="5DF0420F"/>
    <w:rsid w:val="5DF52C5F"/>
    <w:rsid w:val="5E1F470E"/>
    <w:rsid w:val="5E326B2E"/>
    <w:rsid w:val="5E356A27"/>
    <w:rsid w:val="5E420CD0"/>
    <w:rsid w:val="5EA9098A"/>
    <w:rsid w:val="5EB310D3"/>
    <w:rsid w:val="5EB707E1"/>
    <w:rsid w:val="5EBE69FE"/>
    <w:rsid w:val="5ECC66DC"/>
    <w:rsid w:val="5ED07C3B"/>
    <w:rsid w:val="5ED82859"/>
    <w:rsid w:val="5EDF16F5"/>
    <w:rsid w:val="5EE43AD7"/>
    <w:rsid w:val="5EFB7936"/>
    <w:rsid w:val="5EFF1B99"/>
    <w:rsid w:val="5F3308C5"/>
    <w:rsid w:val="5F423FB6"/>
    <w:rsid w:val="5F4B3EB6"/>
    <w:rsid w:val="5F922987"/>
    <w:rsid w:val="5FBF739E"/>
    <w:rsid w:val="5FCE497B"/>
    <w:rsid w:val="5FE7C3B4"/>
    <w:rsid w:val="602B5496"/>
    <w:rsid w:val="604540BE"/>
    <w:rsid w:val="604558FA"/>
    <w:rsid w:val="604D5B35"/>
    <w:rsid w:val="60595113"/>
    <w:rsid w:val="60B43D2F"/>
    <w:rsid w:val="60DC0C96"/>
    <w:rsid w:val="60EA0FFE"/>
    <w:rsid w:val="60EB2463"/>
    <w:rsid w:val="6103239A"/>
    <w:rsid w:val="6141706F"/>
    <w:rsid w:val="61600A06"/>
    <w:rsid w:val="61642D22"/>
    <w:rsid w:val="61912772"/>
    <w:rsid w:val="61B76072"/>
    <w:rsid w:val="61C864DF"/>
    <w:rsid w:val="61D23BD1"/>
    <w:rsid w:val="61EA699D"/>
    <w:rsid w:val="62096DE6"/>
    <w:rsid w:val="622C2412"/>
    <w:rsid w:val="6234150A"/>
    <w:rsid w:val="62540067"/>
    <w:rsid w:val="62727829"/>
    <w:rsid w:val="627C3EDC"/>
    <w:rsid w:val="6297340F"/>
    <w:rsid w:val="62A5763E"/>
    <w:rsid w:val="62A94BA1"/>
    <w:rsid w:val="62AC536C"/>
    <w:rsid w:val="62B90FA5"/>
    <w:rsid w:val="62BB433C"/>
    <w:rsid w:val="62BC1FD8"/>
    <w:rsid w:val="62CE790A"/>
    <w:rsid w:val="62DE716A"/>
    <w:rsid w:val="630C248B"/>
    <w:rsid w:val="6332172E"/>
    <w:rsid w:val="63384D6C"/>
    <w:rsid w:val="63696212"/>
    <w:rsid w:val="636A3405"/>
    <w:rsid w:val="639359DA"/>
    <w:rsid w:val="63996324"/>
    <w:rsid w:val="63C8598A"/>
    <w:rsid w:val="63E85DF1"/>
    <w:rsid w:val="63F31FEB"/>
    <w:rsid w:val="64124FC8"/>
    <w:rsid w:val="647C3B67"/>
    <w:rsid w:val="6485725C"/>
    <w:rsid w:val="649E3B41"/>
    <w:rsid w:val="64A5341F"/>
    <w:rsid w:val="64AF6BFB"/>
    <w:rsid w:val="64B032C5"/>
    <w:rsid w:val="64B04B34"/>
    <w:rsid w:val="64BE5006"/>
    <w:rsid w:val="64E50FD8"/>
    <w:rsid w:val="64EC1CAB"/>
    <w:rsid w:val="651B6D7E"/>
    <w:rsid w:val="651F19AA"/>
    <w:rsid w:val="652008D4"/>
    <w:rsid w:val="654D3796"/>
    <w:rsid w:val="655D38F6"/>
    <w:rsid w:val="659926ED"/>
    <w:rsid w:val="65A70726"/>
    <w:rsid w:val="65AD3347"/>
    <w:rsid w:val="65B05C1F"/>
    <w:rsid w:val="65B70D67"/>
    <w:rsid w:val="65C4434D"/>
    <w:rsid w:val="65D7445A"/>
    <w:rsid w:val="65DD61AD"/>
    <w:rsid w:val="65E16409"/>
    <w:rsid w:val="65E6117D"/>
    <w:rsid w:val="65EE62A6"/>
    <w:rsid w:val="66025270"/>
    <w:rsid w:val="660A0C0A"/>
    <w:rsid w:val="662D023B"/>
    <w:rsid w:val="66473D01"/>
    <w:rsid w:val="666F776E"/>
    <w:rsid w:val="669C4FD1"/>
    <w:rsid w:val="66AC7EB0"/>
    <w:rsid w:val="66CC739B"/>
    <w:rsid w:val="66E13593"/>
    <w:rsid w:val="67083BB2"/>
    <w:rsid w:val="673B3358"/>
    <w:rsid w:val="67560249"/>
    <w:rsid w:val="67620A99"/>
    <w:rsid w:val="678666C0"/>
    <w:rsid w:val="678A2494"/>
    <w:rsid w:val="6797748B"/>
    <w:rsid w:val="67A4530E"/>
    <w:rsid w:val="67C8664A"/>
    <w:rsid w:val="67CE1833"/>
    <w:rsid w:val="67D50695"/>
    <w:rsid w:val="67D5688B"/>
    <w:rsid w:val="67D56DD9"/>
    <w:rsid w:val="67E44FA9"/>
    <w:rsid w:val="68046DD2"/>
    <w:rsid w:val="68311E4E"/>
    <w:rsid w:val="684B43CB"/>
    <w:rsid w:val="68522D8E"/>
    <w:rsid w:val="685F3371"/>
    <w:rsid w:val="68A66745"/>
    <w:rsid w:val="68AC7411"/>
    <w:rsid w:val="68D93AE9"/>
    <w:rsid w:val="68E741DA"/>
    <w:rsid w:val="68EA08A7"/>
    <w:rsid w:val="68EE7758"/>
    <w:rsid w:val="6908791A"/>
    <w:rsid w:val="69121A0D"/>
    <w:rsid w:val="69126A16"/>
    <w:rsid w:val="69141C8D"/>
    <w:rsid w:val="692A3240"/>
    <w:rsid w:val="692D1F8D"/>
    <w:rsid w:val="695C0AAD"/>
    <w:rsid w:val="69764B76"/>
    <w:rsid w:val="697D22DF"/>
    <w:rsid w:val="69B8059F"/>
    <w:rsid w:val="69DE211B"/>
    <w:rsid w:val="69EE0BF6"/>
    <w:rsid w:val="6A374423"/>
    <w:rsid w:val="6A5F0B47"/>
    <w:rsid w:val="6A615445"/>
    <w:rsid w:val="6A6D6FBF"/>
    <w:rsid w:val="6A6F48D0"/>
    <w:rsid w:val="6A8812DC"/>
    <w:rsid w:val="6A8E65E2"/>
    <w:rsid w:val="6A8F5F5C"/>
    <w:rsid w:val="6A934563"/>
    <w:rsid w:val="6AB1547C"/>
    <w:rsid w:val="6AB331AE"/>
    <w:rsid w:val="6AD75C08"/>
    <w:rsid w:val="6AF628A3"/>
    <w:rsid w:val="6B2C19AA"/>
    <w:rsid w:val="6B2F43F4"/>
    <w:rsid w:val="6B394A7F"/>
    <w:rsid w:val="6B5F76C7"/>
    <w:rsid w:val="6B90687E"/>
    <w:rsid w:val="6BC27BF9"/>
    <w:rsid w:val="6BD47877"/>
    <w:rsid w:val="6BF658FA"/>
    <w:rsid w:val="6BFB631A"/>
    <w:rsid w:val="6C111E20"/>
    <w:rsid w:val="6C2735E9"/>
    <w:rsid w:val="6C3202EF"/>
    <w:rsid w:val="6C865790"/>
    <w:rsid w:val="6CA87A65"/>
    <w:rsid w:val="6CBB1768"/>
    <w:rsid w:val="6CD26946"/>
    <w:rsid w:val="6CDC4DD9"/>
    <w:rsid w:val="6CFF3500"/>
    <w:rsid w:val="6D01750D"/>
    <w:rsid w:val="6D0478C2"/>
    <w:rsid w:val="6D426302"/>
    <w:rsid w:val="6D736E16"/>
    <w:rsid w:val="6D8170BB"/>
    <w:rsid w:val="6D8D4AC4"/>
    <w:rsid w:val="6D917059"/>
    <w:rsid w:val="6DCB554C"/>
    <w:rsid w:val="6DD81087"/>
    <w:rsid w:val="6E2D3B3D"/>
    <w:rsid w:val="6E5028A0"/>
    <w:rsid w:val="6EBB1DCB"/>
    <w:rsid w:val="6EC71F22"/>
    <w:rsid w:val="6EF70BC7"/>
    <w:rsid w:val="6F0B4D4A"/>
    <w:rsid w:val="6F6049BF"/>
    <w:rsid w:val="6F770CB4"/>
    <w:rsid w:val="6F8B0D63"/>
    <w:rsid w:val="6FB24330"/>
    <w:rsid w:val="6FBC0F87"/>
    <w:rsid w:val="6FED2595"/>
    <w:rsid w:val="70076F8E"/>
    <w:rsid w:val="70250DE4"/>
    <w:rsid w:val="70401A35"/>
    <w:rsid w:val="70680B54"/>
    <w:rsid w:val="707438FB"/>
    <w:rsid w:val="70977A04"/>
    <w:rsid w:val="70A36E7C"/>
    <w:rsid w:val="71151124"/>
    <w:rsid w:val="711A5617"/>
    <w:rsid w:val="714558C8"/>
    <w:rsid w:val="715937CB"/>
    <w:rsid w:val="715D4999"/>
    <w:rsid w:val="716C69CD"/>
    <w:rsid w:val="718273FD"/>
    <w:rsid w:val="71CC15DE"/>
    <w:rsid w:val="71D57368"/>
    <w:rsid w:val="71D93AEC"/>
    <w:rsid w:val="71E71A29"/>
    <w:rsid w:val="720E4B53"/>
    <w:rsid w:val="723B6951"/>
    <w:rsid w:val="72793E78"/>
    <w:rsid w:val="72B47857"/>
    <w:rsid w:val="72BC51E2"/>
    <w:rsid w:val="72C15FAD"/>
    <w:rsid w:val="72C240C0"/>
    <w:rsid w:val="72C41D9B"/>
    <w:rsid w:val="72C577B8"/>
    <w:rsid w:val="72E22AF7"/>
    <w:rsid w:val="72E476B5"/>
    <w:rsid w:val="72F76BF4"/>
    <w:rsid w:val="733B7E1A"/>
    <w:rsid w:val="73410869"/>
    <w:rsid w:val="738A0413"/>
    <w:rsid w:val="738F4D09"/>
    <w:rsid w:val="7395607B"/>
    <w:rsid w:val="73A054B5"/>
    <w:rsid w:val="73AB6560"/>
    <w:rsid w:val="73AD249B"/>
    <w:rsid w:val="73BD03EF"/>
    <w:rsid w:val="73DA2808"/>
    <w:rsid w:val="73E421AC"/>
    <w:rsid w:val="73E4566E"/>
    <w:rsid w:val="73FF06C0"/>
    <w:rsid w:val="7408712D"/>
    <w:rsid w:val="74307B60"/>
    <w:rsid w:val="74522001"/>
    <w:rsid w:val="745976A1"/>
    <w:rsid w:val="747C75AB"/>
    <w:rsid w:val="74CB38EA"/>
    <w:rsid w:val="74CC0AF7"/>
    <w:rsid w:val="74D154F6"/>
    <w:rsid w:val="74D45721"/>
    <w:rsid w:val="74D7209D"/>
    <w:rsid w:val="74F647C5"/>
    <w:rsid w:val="75005098"/>
    <w:rsid w:val="750531FE"/>
    <w:rsid w:val="750B61A5"/>
    <w:rsid w:val="75252701"/>
    <w:rsid w:val="752A5896"/>
    <w:rsid w:val="753A4B03"/>
    <w:rsid w:val="75596138"/>
    <w:rsid w:val="756C124E"/>
    <w:rsid w:val="7582797F"/>
    <w:rsid w:val="75AD13F9"/>
    <w:rsid w:val="75AE7B06"/>
    <w:rsid w:val="75BD58B2"/>
    <w:rsid w:val="75E02A03"/>
    <w:rsid w:val="75F07BCE"/>
    <w:rsid w:val="76574F3E"/>
    <w:rsid w:val="76576282"/>
    <w:rsid w:val="76811657"/>
    <w:rsid w:val="76D4147E"/>
    <w:rsid w:val="76F94CCD"/>
    <w:rsid w:val="770A3B67"/>
    <w:rsid w:val="77456248"/>
    <w:rsid w:val="774622A9"/>
    <w:rsid w:val="77524F0A"/>
    <w:rsid w:val="77584E0B"/>
    <w:rsid w:val="77764500"/>
    <w:rsid w:val="7776652F"/>
    <w:rsid w:val="77877B4C"/>
    <w:rsid w:val="778A111D"/>
    <w:rsid w:val="77B8686D"/>
    <w:rsid w:val="77E7683B"/>
    <w:rsid w:val="7807362C"/>
    <w:rsid w:val="780A5385"/>
    <w:rsid w:val="787159DB"/>
    <w:rsid w:val="788E063C"/>
    <w:rsid w:val="78BD4B0F"/>
    <w:rsid w:val="78C4459E"/>
    <w:rsid w:val="78CC68E9"/>
    <w:rsid w:val="78F562DE"/>
    <w:rsid w:val="78FE09F9"/>
    <w:rsid w:val="79277261"/>
    <w:rsid w:val="79291D2A"/>
    <w:rsid w:val="793A1D8B"/>
    <w:rsid w:val="794E265C"/>
    <w:rsid w:val="794E5680"/>
    <w:rsid w:val="7953126D"/>
    <w:rsid w:val="79603C61"/>
    <w:rsid w:val="797A6E86"/>
    <w:rsid w:val="79824CE0"/>
    <w:rsid w:val="79914316"/>
    <w:rsid w:val="79E6113B"/>
    <w:rsid w:val="79EE5DC2"/>
    <w:rsid w:val="7A196B4C"/>
    <w:rsid w:val="7A1D0DD8"/>
    <w:rsid w:val="7A3E04B2"/>
    <w:rsid w:val="7A483427"/>
    <w:rsid w:val="7A581F4D"/>
    <w:rsid w:val="7A5C2227"/>
    <w:rsid w:val="7A8469D0"/>
    <w:rsid w:val="7A975262"/>
    <w:rsid w:val="7AA24C23"/>
    <w:rsid w:val="7AA869F3"/>
    <w:rsid w:val="7ABB5FE4"/>
    <w:rsid w:val="7ACB4BCA"/>
    <w:rsid w:val="7ACD34EE"/>
    <w:rsid w:val="7AD60A71"/>
    <w:rsid w:val="7ADD3F22"/>
    <w:rsid w:val="7ADF21DB"/>
    <w:rsid w:val="7AFA4F75"/>
    <w:rsid w:val="7B104263"/>
    <w:rsid w:val="7B3A5F8C"/>
    <w:rsid w:val="7B702E1A"/>
    <w:rsid w:val="7B7313FA"/>
    <w:rsid w:val="7B751428"/>
    <w:rsid w:val="7B891571"/>
    <w:rsid w:val="7BA711D8"/>
    <w:rsid w:val="7BDF2F90"/>
    <w:rsid w:val="7BE055B8"/>
    <w:rsid w:val="7BF563F9"/>
    <w:rsid w:val="7C20232C"/>
    <w:rsid w:val="7C206D3F"/>
    <w:rsid w:val="7C561A95"/>
    <w:rsid w:val="7C6E4F0E"/>
    <w:rsid w:val="7C7A1FAA"/>
    <w:rsid w:val="7C95204E"/>
    <w:rsid w:val="7CAD16AE"/>
    <w:rsid w:val="7CCE1076"/>
    <w:rsid w:val="7D014BF4"/>
    <w:rsid w:val="7D3B6123"/>
    <w:rsid w:val="7D430697"/>
    <w:rsid w:val="7D470F6C"/>
    <w:rsid w:val="7D851216"/>
    <w:rsid w:val="7D8A38E8"/>
    <w:rsid w:val="7DB230AB"/>
    <w:rsid w:val="7DB73223"/>
    <w:rsid w:val="7DC13509"/>
    <w:rsid w:val="7DDB04EC"/>
    <w:rsid w:val="7DF200F0"/>
    <w:rsid w:val="7E1E296D"/>
    <w:rsid w:val="7E307346"/>
    <w:rsid w:val="7E3A3730"/>
    <w:rsid w:val="7E417769"/>
    <w:rsid w:val="7E4B4A8C"/>
    <w:rsid w:val="7E6A2BBF"/>
    <w:rsid w:val="7E933E92"/>
    <w:rsid w:val="7E94689C"/>
    <w:rsid w:val="7E96032A"/>
    <w:rsid w:val="7EAA105E"/>
    <w:rsid w:val="7EAB63D8"/>
    <w:rsid w:val="7EBD44F9"/>
    <w:rsid w:val="7EBF34AA"/>
    <w:rsid w:val="7EC772A7"/>
    <w:rsid w:val="7F0B5B6F"/>
    <w:rsid w:val="7F0D316F"/>
    <w:rsid w:val="7F0F0A75"/>
    <w:rsid w:val="7F616097"/>
    <w:rsid w:val="7F625AD3"/>
    <w:rsid w:val="7F9736E0"/>
    <w:rsid w:val="7FA73672"/>
    <w:rsid w:val="7FA933E3"/>
    <w:rsid w:val="7FD5550D"/>
    <w:rsid w:val="7FE266C8"/>
    <w:rsid w:val="7FF72406"/>
    <w:rsid w:val="7FF773D4"/>
    <w:rsid w:val="B7BB2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3">
    <w:name w:val="Default Paragraph Font"/>
    <w:unhideWhenUsed/>
    <w:qFormat/>
    <w:uiPriority w:val="1"/>
  </w:style>
  <w:style w:type="table" w:default="1" w:styleId="4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49"/>
    <w:qFormat/>
    <w:uiPriority w:val="0"/>
    <w:rPr>
      <w:b/>
      <w:bCs/>
    </w:rPr>
  </w:style>
  <w:style w:type="paragraph" w:styleId="3">
    <w:name w:val="annotation text"/>
    <w:basedOn w:val="1"/>
    <w:link w:val="145"/>
    <w:qFormat/>
    <w:uiPriority w:val="0"/>
    <w:pPr>
      <w:jc w:val="left"/>
    </w:pPr>
  </w:style>
  <w:style w:type="paragraph" w:styleId="4">
    <w:name w:val="toc 7"/>
    <w:basedOn w:val="1"/>
    <w:next w:val="1"/>
    <w:semiHidden/>
    <w:qFormat/>
    <w:uiPriority w:val="0"/>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sz w:val="20"/>
      <w:szCs w:val="20"/>
    </w:rPr>
  </w:style>
  <w:style w:type="paragraph" w:styleId="8">
    <w:name w:val="Document Map"/>
    <w:basedOn w:val="1"/>
    <w:semiHidden/>
    <w:qFormat/>
    <w:uiPriority w:val="0"/>
    <w:pPr>
      <w:shd w:val="clear" w:color="auto" w:fill="000080"/>
    </w:pPr>
  </w:style>
  <w:style w:type="paragraph" w:styleId="9">
    <w:name w:val="index 6"/>
    <w:basedOn w:val="1"/>
    <w:next w:val="1"/>
    <w:qFormat/>
    <w:uiPriority w:val="0"/>
    <w:pPr>
      <w:ind w:left="1260" w:hanging="210"/>
      <w:jc w:val="left"/>
    </w:pPr>
    <w:rPr>
      <w:sz w:val="20"/>
      <w:szCs w:val="20"/>
    </w:rPr>
  </w:style>
  <w:style w:type="paragraph" w:styleId="10">
    <w:name w:val="Body Text Indent"/>
    <w:basedOn w:val="1"/>
    <w:qFormat/>
    <w:uiPriority w:val="0"/>
    <w:pPr>
      <w:spacing w:after="120"/>
      <w:ind w:left="420" w:leftChars="200"/>
    </w:pPr>
  </w:style>
  <w:style w:type="paragraph" w:styleId="11">
    <w:name w:val="index 4"/>
    <w:basedOn w:val="1"/>
    <w:next w:val="1"/>
    <w:qFormat/>
    <w:uiPriority w:val="0"/>
    <w:pPr>
      <w:ind w:left="840" w:hanging="210"/>
      <w:jc w:val="left"/>
    </w:pPr>
    <w:rPr>
      <w:sz w:val="20"/>
      <w:szCs w:val="20"/>
    </w:rPr>
  </w:style>
  <w:style w:type="paragraph" w:styleId="12">
    <w:name w:val="toc 5"/>
    <w:basedOn w:val="1"/>
    <w:next w:val="1"/>
    <w:semiHidden/>
    <w:qFormat/>
    <w:uiPriority w:val="0"/>
    <w:pPr>
      <w:tabs>
        <w:tab w:val="right" w:leader="dot" w:pos="9241"/>
      </w:tabs>
      <w:ind w:firstLine="300" w:firstLineChars="300"/>
      <w:jc w:val="left"/>
    </w:pPr>
    <w:rPr>
      <w:rFonts w:ascii="宋体"/>
      <w:szCs w:val="21"/>
    </w:rPr>
  </w:style>
  <w:style w:type="paragraph" w:styleId="13">
    <w:name w:val="toc 3"/>
    <w:basedOn w:val="1"/>
    <w:next w:val="1"/>
    <w:qFormat/>
    <w:uiPriority w:val="39"/>
    <w:pPr>
      <w:tabs>
        <w:tab w:val="right" w:leader="dot" w:pos="9241"/>
      </w:tabs>
      <w:ind w:firstLine="102" w:firstLineChars="100"/>
      <w:jc w:val="left"/>
    </w:pPr>
    <w:rPr>
      <w:rFonts w:ascii="宋体"/>
      <w:szCs w:val="21"/>
    </w:rPr>
  </w:style>
  <w:style w:type="paragraph" w:styleId="14">
    <w:name w:val="toc 8"/>
    <w:basedOn w:val="1"/>
    <w:next w:val="1"/>
    <w:semiHidden/>
    <w:qFormat/>
    <w:uiPriority w:val="0"/>
    <w:pPr>
      <w:tabs>
        <w:tab w:val="right" w:leader="dot" w:pos="9241"/>
      </w:tabs>
      <w:ind w:firstLine="607" w:firstLineChars="600"/>
      <w:jc w:val="left"/>
    </w:pPr>
    <w:rPr>
      <w:rFonts w:ascii="宋体"/>
      <w:szCs w:val="21"/>
    </w:rPr>
  </w:style>
  <w:style w:type="paragraph" w:styleId="15">
    <w:name w:val="index 3"/>
    <w:basedOn w:val="1"/>
    <w:next w:val="1"/>
    <w:qFormat/>
    <w:uiPriority w:val="0"/>
    <w:pPr>
      <w:ind w:left="630" w:hanging="210"/>
      <w:jc w:val="left"/>
    </w:pPr>
    <w:rPr>
      <w:sz w:val="20"/>
      <w:szCs w:val="20"/>
    </w:rPr>
  </w:style>
  <w:style w:type="paragraph" w:styleId="16">
    <w:name w:val="endnote text"/>
    <w:basedOn w:val="1"/>
    <w:semiHidden/>
    <w:qFormat/>
    <w:uiPriority w:val="0"/>
    <w:pPr>
      <w:snapToGrid w:val="0"/>
      <w:jc w:val="left"/>
    </w:pPr>
  </w:style>
  <w:style w:type="paragraph" w:styleId="17">
    <w:name w:val="Balloon Text"/>
    <w:basedOn w:val="1"/>
    <w:link w:val="147"/>
    <w:qFormat/>
    <w:uiPriority w:val="0"/>
    <w:rPr>
      <w:sz w:val="18"/>
      <w:szCs w:val="18"/>
    </w:rPr>
  </w:style>
  <w:style w:type="paragraph" w:styleId="18">
    <w:name w:val="footer"/>
    <w:basedOn w:val="1"/>
    <w:qFormat/>
    <w:uiPriority w:val="0"/>
    <w:pPr>
      <w:snapToGrid w:val="0"/>
      <w:ind w:right="210" w:rightChars="100"/>
      <w:jc w:val="right"/>
    </w:pPr>
    <w:rPr>
      <w:sz w:val="18"/>
      <w:szCs w:val="18"/>
    </w:rPr>
  </w:style>
  <w:style w:type="paragraph" w:styleId="19">
    <w:name w:val="Body Text First Indent 2"/>
    <w:basedOn w:val="10"/>
    <w:qFormat/>
    <w:uiPriority w:val="0"/>
    <w:pPr>
      <w:ind w:left="0" w:leftChars="0" w:firstLine="420" w:firstLineChars="200"/>
    </w:pPr>
    <w:rPr>
      <w:rFonts w:ascii="Times New Roman" w:hAnsi="Times New Roman" w:eastAsia="仿宋"/>
      <w:sz w:val="32"/>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2">
    <w:name w:val="toc 4"/>
    <w:basedOn w:val="1"/>
    <w:next w:val="1"/>
    <w:semiHidden/>
    <w:qFormat/>
    <w:uiPriority w:val="0"/>
    <w:pPr>
      <w:tabs>
        <w:tab w:val="right" w:leader="dot" w:pos="9241"/>
      </w:tabs>
      <w:ind w:firstLine="198" w:firstLineChars="200"/>
      <w:jc w:val="left"/>
    </w:pPr>
    <w:rPr>
      <w:rFonts w:ascii="宋体"/>
      <w:szCs w:val="21"/>
    </w:rPr>
  </w:style>
  <w:style w:type="paragraph" w:styleId="23">
    <w:name w:val="index heading"/>
    <w:basedOn w:val="1"/>
    <w:next w:val="24"/>
    <w:qFormat/>
    <w:uiPriority w:val="0"/>
    <w:pPr>
      <w:spacing w:before="120" w:after="120"/>
      <w:jc w:val="center"/>
    </w:pPr>
    <w:rPr>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150"/>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3" w:firstLineChars="400"/>
      <w:jc w:val="left"/>
    </w:pPr>
    <w:rPr>
      <w:rFonts w:ascii="宋体"/>
      <w:szCs w:val="21"/>
    </w:rPr>
  </w:style>
  <w:style w:type="paragraph" w:styleId="28">
    <w:name w:val="index 7"/>
    <w:basedOn w:val="1"/>
    <w:next w:val="1"/>
    <w:qFormat/>
    <w:uiPriority w:val="0"/>
    <w:pPr>
      <w:ind w:left="1470" w:hanging="210"/>
      <w:jc w:val="left"/>
    </w:pPr>
    <w:rPr>
      <w:sz w:val="20"/>
      <w:szCs w:val="20"/>
    </w:rPr>
  </w:style>
  <w:style w:type="paragraph" w:styleId="29">
    <w:name w:val="index 9"/>
    <w:basedOn w:val="1"/>
    <w:next w:val="1"/>
    <w:qFormat/>
    <w:uiPriority w:val="0"/>
    <w:pPr>
      <w:ind w:left="1890" w:hanging="210"/>
      <w:jc w:val="left"/>
    </w:pPr>
    <w:rPr>
      <w:sz w:val="20"/>
      <w:szCs w:val="20"/>
    </w:rPr>
  </w:style>
  <w:style w:type="paragraph" w:styleId="30">
    <w:name w:val="toc 2"/>
    <w:basedOn w:val="1"/>
    <w:next w:val="1"/>
    <w:semiHidden/>
    <w:qFormat/>
    <w:uiPriority w:val="0"/>
    <w:pPr>
      <w:tabs>
        <w:tab w:val="right" w:leader="dot" w:pos="9241"/>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index 2"/>
    <w:basedOn w:val="1"/>
    <w:next w:val="1"/>
    <w:qFormat/>
    <w:uiPriority w:val="0"/>
    <w:pPr>
      <w:ind w:left="420" w:hanging="210"/>
      <w:jc w:val="left"/>
    </w:pPr>
    <w:rPr>
      <w:sz w:val="20"/>
      <w:szCs w:val="20"/>
    </w:rPr>
  </w:style>
  <w:style w:type="character" w:styleId="34">
    <w:name w:val="endnote reference"/>
    <w:semiHidden/>
    <w:qFormat/>
    <w:uiPriority w:val="0"/>
    <w:rPr>
      <w:rFonts w:ascii="Calibri" w:hAnsi="Calibri" w:eastAsia="宋体" w:cs="Times New Roman"/>
      <w:vertAlign w:val="superscript"/>
    </w:rPr>
  </w:style>
  <w:style w:type="character" w:styleId="35">
    <w:name w:val="page number"/>
    <w:qFormat/>
    <w:uiPriority w:val="0"/>
    <w:rPr>
      <w:rFonts w:ascii="Times New Roman" w:hAnsi="Times New Roman" w:eastAsia="宋体" w:cs="Times New Roman"/>
      <w:sz w:val="18"/>
    </w:rPr>
  </w:style>
  <w:style w:type="character" w:styleId="36">
    <w:name w:val="FollowedHyperlink"/>
    <w:qFormat/>
    <w:uiPriority w:val="0"/>
    <w:rPr>
      <w:rFonts w:ascii="Calibri" w:hAnsi="Calibri" w:eastAsia="宋体" w:cs="Times New Roman"/>
      <w:color w:val="800080"/>
      <w:u w:val="single"/>
    </w:rPr>
  </w:style>
  <w:style w:type="character" w:styleId="37">
    <w:name w:val="Emphasis"/>
    <w:qFormat/>
    <w:uiPriority w:val="20"/>
    <w:rPr>
      <w:rFonts w:ascii="Calibri" w:hAnsi="Calibri" w:eastAsia="宋体" w:cs="Times New Roman"/>
      <w:i/>
      <w:iCs/>
    </w:rPr>
  </w:style>
  <w:style w:type="character" w:styleId="38">
    <w:name w:val="Hyperlink"/>
    <w:qFormat/>
    <w:uiPriority w:val="99"/>
    <w:rPr>
      <w:rFonts w:ascii="Calibri" w:hAnsi="Calibri" w:eastAsia="宋体" w:cs="Times New Roman"/>
      <w:color w:val="0000FF"/>
      <w:spacing w:val="0"/>
      <w:w w:val="100"/>
      <w:szCs w:val="21"/>
      <w:u w:val="single"/>
    </w:rPr>
  </w:style>
  <w:style w:type="character" w:styleId="39">
    <w:name w:val="annotation reference"/>
    <w:qFormat/>
    <w:uiPriority w:val="0"/>
    <w:rPr>
      <w:rFonts w:ascii="Calibri" w:hAnsi="Calibri" w:eastAsia="宋体" w:cs="Times New Roman"/>
      <w:sz w:val="21"/>
      <w:szCs w:val="21"/>
    </w:rPr>
  </w:style>
  <w:style w:type="character" w:styleId="40">
    <w:name w:val="footnote reference"/>
    <w:semiHidden/>
    <w:qFormat/>
    <w:uiPriority w:val="0"/>
    <w:rPr>
      <w:rFonts w:ascii="Calibri" w:hAnsi="Calibri" w:eastAsia="宋体" w:cs="Times New Roman"/>
      <w:vertAlign w:val="superscript"/>
    </w:rPr>
  </w:style>
  <w:style w:type="table" w:styleId="42">
    <w:name w:val="Table Grid"/>
    <w:basedOn w:val="4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43">
    <w:name w:val="附录二级条标题"/>
    <w:basedOn w:val="1"/>
    <w:next w:val="25"/>
    <w:qFormat/>
    <w:uiPriority w:val="0"/>
    <w:pPr>
      <w:widowControl/>
      <w:numPr>
        <w:ilvl w:val="3"/>
        <w:numId w:val="2"/>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44">
    <w:name w:val="标准文件_一级条标题"/>
    <w:basedOn w:val="45"/>
    <w:next w:val="46"/>
    <w:qFormat/>
    <w:uiPriority w:val="0"/>
    <w:pPr>
      <w:numPr>
        <w:ilvl w:val="2"/>
      </w:numPr>
      <w:spacing w:before="50" w:beforeLines="50" w:after="50" w:afterLines="50"/>
      <w:outlineLvl w:val="1"/>
    </w:pPr>
  </w:style>
  <w:style w:type="paragraph" w:customStyle="1" w:styleId="45">
    <w:name w:val="标准文件_章标题"/>
    <w:next w:val="46"/>
    <w:qFormat/>
    <w:uiPriority w:val="0"/>
    <w:pPr>
      <w:numPr>
        <w:ilvl w:val="1"/>
        <w:numId w:val="3"/>
      </w:numPr>
      <w:spacing w:before="100" w:beforeLines="100" w:after="100" w:afterLines="100"/>
      <w:jc w:val="both"/>
      <w:outlineLvl w:val="0"/>
    </w:pPr>
    <w:rPr>
      <w:rFonts w:ascii="黑体" w:hAnsi="Calibri" w:eastAsia="黑体" w:cs="Times New Roman"/>
      <w:sz w:val="21"/>
      <w:lang w:val="en-US" w:eastAsia="zh-CN" w:bidi="ar-SA"/>
    </w:rPr>
  </w:style>
  <w:style w:type="paragraph" w:customStyle="1" w:styleId="46">
    <w:name w:val="标准文件_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7">
    <w:name w:val="编号列项（三级）"/>
    <w:qFormat/>
    <w:uiPriority w:val="0"/>
    <w:pPr>
      <w:numPr>
        <w:ilvl w:val="2"/>
        <w:numId w:val="4"/>
      </w:numPr>
    </w:pPr>
    <w:rPr>
      <w:rFonts w:ascii="宋体" w:hAnsi="Calibri" w:eastAsia="宋体" w:cs="Times New Roman"/>
      <w:sz w:val="21"/>
      <w:lang w:val="en-US" w:eastAsia="zh-CN" w:bidi="ar-SA"/>
    </w:rPr>
  </w:style>
  <w:style w:type="paragraph" w:customStyle="1" w:styleId="48">
    <w:name w:val="其他标准标志"/>
    <w:basedOn w:val="49"/>
    <w:qFormat/>
    <w:uiPriority w:val="0"/>
    <w:pPr>
      <w:framePr w:w="6101" w:vAnchor="page" w:hAnchor="page" w:x="4673" w:y="942"/>
    </w:pPr>
    <w:rPr>
      <w:w w:val="130"/>
    </w:rPr>
  </w:style>
  <w:style w:type="paragraph" w:customStyle="1" w:styleId="4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Calibri" w:hAnsi="Calibri" w:eastAsia="宋体" w:cs="Times New Roman"/>
      <w:b/>
      <w:w w:val="170"/>
      <w:sz w:val="96"/>
      <w:szCs w:val="96"/>
      <w:lang w:val="en-US" w:eastAsia="zh-CN" w:bidi="ar-SA"/>
    </w:rPr>
  </w:style>
  <w:style w:type="paragraph" w:customStyle="1" w:styleId="50">
    <w:name w:val="正文表标题"/>
    <w:next w:val="25"/>
    <w:qFormat/>
    <w:uiPriority w:val="0"/>
    <w:pPr>
      <w:numPr>
        <w:ilvl w:val="0"/>
        <w:numId w:val="5"/>
      </w:numPr>
      <w:tabs>
        <w:tab w:val="left" w:pos="360"/>
      </w:tabs>
      <w:spacing w:before="156" w:beforeLines="50" w:after="156" w:afterLines="50"/>
      <w:jc w:val="center"/>
    </w:pPr>
    <w:rPr>
      <w:rFonts w:ascii="黑体" w:hAnsi="Calibri" w:eastAsia="黑体" w:cs="Times New Roman"/>
      <w:sz w:val="21"/>
      <w:lang w:val="en-US" w:eastAsia="zh-CN" w:bidi="ar-SA"/>
    </w:rPr>
  </w:style>
  <w:style w:type="paragraph" w:customStyle="1" w:styleId="51">
    <w:name w:val="实施日期"/>
    <w:basedOn w:val="52"/>
    <w:qFormat/>
    <w:uiPriority w:val="0"/>
    <w:pPr>
      <w:framePr w:vAnchor="page" w:hAnchor="text"/>
      <w:jc w:val="right"/>
    </w:pPr>
  </w:style>
  <w:style w:type="paragraph" w:customStyle="1" w:styleId="52">
    <w:name w:val="发布日期"/>
    <w:qFormat/>
    <w:uiPriority w:val="0"/>
    <w:pPr>
      <w:framePr w:w="3997" w:h="471" w:hRule="exact" w:vSpace="181" w:wrap="around" w:vAnchor="margin" w:hAnchor="page" w:x="7089" w:y="14097" w:anchorLock="1"/>
    </w:pPr>
    <w:rPr>
      <w:rFonts w:ascii="Calibri" w:hAnsi="Calibri" w:eastAsia="黑体" w:cs="Times New Roman"/>
      <w:sz w:val="28"/>
      <w:lang w:val="en-US" w:eastAsia="zh-CN" w:bidi="ar-SA"/>
    </w:rPr>
  </w:style>
  <w:style w:type="paragraph" w:customStyle="1" w:styleId="53">
    <w:name w:val="WPSOffice手动目录 2"/>
    <w:qFormat/>
    <w:uiPriority w:val="0"/>
    <w:pPr>
      <w:ind w:left="200" w:leftChars="200"/>
    </w:pPr>
    <w:rPr>
      <w:rFonts w:ascii="Calibri" w:hAnsi="Calibri" w:eastAsia="宋体" w:cs="Times New Roman"/>
      <w:lang w:val="en-US" w:eastAsia="zh-CN" w:bidi="ar-SA"/>
    </w:rPr>
  </w:style>
  <w:style w:type="paragraph" w:customStyle="1" w:styleId="54">
    <w:name w:val="五级条标题"/>
    <w:basedOn w:val="55"/>
    <w:next w:val="25"/>
    <w:qFormat/>
    <w:uiPriority w:val="0"/>
    <w:pPr>
      <w:numPr>
        <w:ilvl w:val="5"/>
      </w:numPr>
      <w:outlineLvl w:val="6"/>
    </w:pPr>
  </w:style>
  <w:style w:type="paragraph" w:customStyle="1" w:styleId="55">
    <w:name w:val="四级条标题"/>
    <w:basedOn w:val="56"/>
    <w:next w:val="25"/>
    <w:qFormat/>
    <w:uiPriority w:val="0"/>
    <w:pPr>
      <w:numPr>
        <w:ilvl w:val="4"/>
      </w:numPr>
      <w:outlineLvl w:val="5"/>
    </w:pPr>
  </w:style>
  <w:style w:type="paragraph" w:customStyle="1" w:styleId="56">
    <w:name w:val="三级条标题"/>
    <w:basedOn w:val="57"/>
    <w:next w:val="25"/>
    <w:qFormat/>
    <w:uiPriority w:val="0"/>
    <w:pPr>
      <w:numPr>
        <w:ilvl w:val="3"/>
        <w:numId w:val="6"/>
      </w:numPr>
      <w:outlineLvl w:val="4"/>
    </w:pPr>
  </w:style>
  <w:style w:type="paragraph" w:customStyle="1" w:styleId="57">
    <w:name w:val="二级条标题"/>
    <w:basedOn w:val="58"/>
    <w:next w:val="25"/>
    <w:qFormat/>
    <w:uiPriority w:val="0"/>
    <w:pPr>
      <w:numPr>
        <w:ilvl w:val="0"/>
        <w:numId w:val="0"/>
      </w:numPr>
      <w:spacing w:before="50" w:after="50"/>
      <w:ind w:left="284"/>
      <w:outlineLvl w:val="3"/>
    </w:pPr>
  </w:style>
  <w:style w:type="paragraph" w:customStyle="1" w:styleId="58">
    <w:name w:val="一级条标题"/>
    <w:basedOn w:val="59"/>
    <w:next w:val="25"/>
    <w:qFormat/>
    <w:uiPriority w:val="0"/>
    <w:pPr>
      <w:numPr>
        <w:ilvl w:val="1"/>
      </w:numPr>
      <w:spacing w:before="156" w:beforeLines="50" w:after="156" w:afterLines="50"/>
      <w:outlineLvl w:val="2"/>
    </w:pPr>
    <w:rPr>
      <w:szCs w:val="21"/>
    </w:rPr>
  </w:style>
  <w:style w:type="paragraph" w:customStyle="1" w:styleId="59">
    <w:name w:val="章标题"/>
    <w:next w:val="25"/>
    <w:qFormat/>
    <w:uiPriority w:val="0"/>
    <w:pPr>
      <w:numPr>
        <w:ilvl w:val="0"/>
        <w:numId w:val="6"/>
      </w:numPr>
      <w:spacing w:before="312" w:beforeLines="100" w:after="312" w:afterLines="100"/>
      <w:jc w:val="both"/>
      <w:outlineLvl w:val="1"/>
    </w:pPr>
    <w:rPr>
      <w:rFonts w:ascii="黑体" w:hAnsi="Calibri" w:eastAsia="黑体" w:cs="Times New Roman"/>
      <w:sz w:val="21"/>
      <w:lang w:val="en-US" w:eastAsia="zh-CN" w:bidi="ar-SA"/>
    </w:rPr>
  </w:style>
  <w:style w:type="paragraph" w:customStyle="1" w:styleId="60">
    <w:name w:val="标准书眉一"/>
    <w:qFormat/>
    <w:uiPriority w:val="0"/>
    <w:pPr>
      <w:jc w:val="both"/>
    </w:pPr>
    <w:rPr>
      <w:rFonts w:ascii="Calibri" w:hAnsi="Calibri" w:eastAsia="宋体" w:cs="Times New Roman"/>
      <w:lang w:val="en-US" w:eastAsia="zh-CN" w:bidi="ar-SA"/>
    </w:rPr>
  </w:style>
  <w:style w:type="paragraph" w:customStyle="1" w:styleId="61">
    <w:name w:val="附录公式"/>
    <w:basedOn w:val="25"/>
    <w:next w:val="25"/>
    <w:link w:val="146"/>
    <w:qFormat/>
    <w:uiPriority w:val="0"/>
  </w:style>
  <w:style w:type="paragraph" w:customStyle="1" w:styleId="62">
    <w:name w:val="标准文件_一级无标题"/>
    <w:basedOn w:val="44"/>
    <w:qFormat/>
    <w:uiPriority w:val="0"/>
    <w:pPr>
      <w:spacing w:before="0" w:beforeLines="0" w:after="0" w:afterLines="0"/>
      <w:outlineLvl w:val="9"/>
    </w:pPr>
    <w:rPr>
      <w:rFonts w:ascii="宋体" w:eastAsia="宋体"/>
    </w:rPr>
  </w:style>
  <w:style w:type="paragraph" w:customStyle="1" w:styleId="63">
    <w:name w:val="封面标准号2"/>
    <w:qFormat/>
    <w:uiPriority w:val="0"/>
    <w:pPr>
      <w:framePr w:w="9140" w:h="1242" w:hRule="exact" w:hSpace="284" w:wrap="around" w:vAnchor="page" w:hAnchor="page" w:x="1645" w:y="2910" w:anchorLock="1"/>
      <w:spacing w:before="357" w:line="280" w:lineRule="exact"/>
      <w:jc w:val="right"/>
    </w:pPr>
    <w:rPr>
      <w:rFonts w:ascii="黑体" w:hAnsi="Calibri" w:eastAsia="黑体" w:cs="Times New Roman"/>
      <w:sz w:val="28"/>
      <w:szCs w:val="28"/>
      <w:lang w:val="en-US" w:eastAsia="zh-CN" w:bidi="ar-SA"/>
    </w:rPr>
  </w:style>
  <w:style w:type="paragraph" w:customStyle="1" w:styleId="64">
    <w:name w:val="二级无"/>
    <w:basedOn w:val="57"/>
    <w:qFormat/>
    <w:uiPriority w:val="0"/>
    <w:pPr>
      <w:spacing w:before="0" w:beforeLines="0" w:after="0" w:afterLines="0"/>
      <w:ind w:left="0"/>
    </w:pPr>
    <w:rPr>
      <w:rFonts w:ascii="宋体" w:eastAsia="宋体"/>
    </w:rPr>
  </w:style>
  <w:style w:type="paragraph" w:customStyle="1" w:styleId="65">
    <w:name w:val="附录表标号"/>
    <w:basedOn w:val="1"/>
    <w:next w:val="25"/>
    <w:qFormat/>
    <w:uiPriority w:val="0"/>
    <w:pPr>
      <w:numPr>
        <w:ilvl w:val="0"/>
        <w:numId w:val="7"/>
      </w:numPr>
      <w:tabs>
        <w:tab w:val="clear" w:pos="0"/>
      </w:tabs>
      <w:spacing w:line="14" w:lineRule="exact"/>
      <w:ind w:left="811" w:hanging="448"/>
      <w:jc w:val="center"/>
      <w:outlineLvl w:val="0"/>
    </w:pPr>
    <w:rPr>
      <w:color w:val="FFFFFF"/>
    </w:rPr>
  </w:style>
  <w:style w:type="paragraph" w:customStyle="1" w:styleId="66">
    <w:name w:val="列项●（二级）"/>
    <w:qFormat/>
    <w:uiPriority w:val="0"/>
    <w:pPr>
      <w:numPr>
        <w:ilvl w:val="1"/>
        <w:numId w:val="8"/>
      </w:numPr>
      <w:tabs>
        <w:tab w:val="left" w:pos="840"/>
        <w:tab w:val="clear" w:pos="760"/>
      </w:tabs>
      <w:jc w:val="both"/>
    </w:pPr>
    <w:rPr>
      <w:rFonts w:ascii="宋体" w:hAnsi="Calibri" w:eastAsia="宋体" w:cs="Times New Roman"/>
      <w:sz w:val="21"/>
      <w:lang w:val="en-US" w:eastAsia="zh-CN" w:bidi="ar-SA"/>
    </w:rPr>
  </w:style>
  <w:style w:type="paragraph" w:customStyle="1" w:styleId="67">
    <w:name w:val="一级无"/>
    <w:basedOn w:val="58"/>
    <w:qFormat/>
    <w:uiPriority w:val="0"/>
    <w:pPr>
      <w:spacing w:before="0" w:beforeLines="0" w:after="0" w:afterLines="0"/>
    </w:pPr>
    <w:rPr>
      <w:rFonts w:ascii="宋体" w:eastAsia="宋体"/>
    </w:rPr>
  </w:style>
  <w:style w:type="paragraph" w:customStyle="1" w:styleId="68">
    <w:name w:val="发布部门"/>
    <w:next w:val="25"/>
    <w:qFormat/>
    <w:uiPriority w:val="0"/>
    <w:pPr>
      <w:framePr w:w="7938" w:h="1134" w:hRule="exact" w:hSpace="125" w:vSpace="181" w:wrap="around" w:vAnchor="page" w:hAnchor="page" w:x="2150" w:y="14630" w:anchorLock="1"/>
      <w:jc w:val="center"/>
    </w:pPr>
    <w:rPr>
      <w:rFonts w:ascii="宋体" w:hAnsi="Calibri" w:eastAsia="宋体" w:cs="Times New Roman"/>
      <w:b/>
      <w:spacing w:val="20"/>
      <w:w w:val="135"/>
      <w:sz w:val="28"/>
      <w:lang w:val="en-US" w:eastAsia="zh-CN" w:bidi="ar-SA"/>
    </w:rPr>
  </w:style>
  <w:style w:type="paragraph" w:customStyle="1" w:styleId="69">
    <w:name w:val="附录二级无"/>
    <w:basedOn w:val="43"/>
    <w:qFormat/>
    <w:uiPriority w:val="0"/>
    <w:pPr>
      <w:tabs>
        <w:tab w:val="clear" w:pos="360"/>
      </w:tabs>
      <w:spacing w:before="0" w:beforeLines="0" w:after="0" w:afterLines="0"/>
    </w:pPr>
    <w:rPr>
      <w:rFonts w:ascii="宋体" w:eastAsia="宋体"/>
      <w:szCs w:val="21"/>
    </w:rPr>
  </w:style>
  <w:style w:type="paragraph" w:customStyle="1" w:styleId="70">
    <w:name w:val="标准书脚_奇数页"/>
    <w:qFormat/>
    <w:uiPriority w:val="0"/>
    <w:pPr>
      <w:spacing w:before="120"/>
      <w:ind w:right="198"/>
      <w:jc w:val="right"/>
    </w:pPr>
    <w:rPr>
      <w:rFonts w:ascii="宋体" w:hAnsi="Calibri" w:eastAsia="宋体" w:cs="Times New Roman"/>
      <w:sz w:val="18"/>
      <w:szCs w:val="18"/>
      <w:lang w:val="en-US" w:eastAsia="zh-CN" w:bidi="ar-SA"/>
    </w:rPr>
  </w:style>
  <w:style w:type="paragraph" w:customStyle="1" w:styleId="71">
    <w:name w:val="封面标准号1"/>
    <w:qFormat/>
    <w:uiPriority w:val="0"/>
    <w:pPr>
      <w:widowControl w:val="0"/>
      <w:kinsoku w:val="0"/>
      <w:overflowPunct w:val="0"/>
      <w:autoSpaceDE w:val="0"/>
      <w:autoSpaceDN w:val="0"/>
      <w:spacing w:before="308"/>
      <w:jc w:val="right"/>
      <w:textAlignment w:val="center"/>
    </w:pPr>
    <w:rPr>
      <w:rFonts w:ascii="Calibri" w:hAnsi="Calibri" w:eastAsia="宋体" w:cs="Times New Roman"/>
      <w:sz w:val="28"/>
      <w:lang w:val="en-US" w:eastAsia="zh-CN" w:bidi="ar-SA"/>
    </w:rPr>
  </w:style>
  <w:style w:type="paragraph" w:customStyle="1" w:styleId="72">
    <w:name w:val="附录四级条标题"/>
    <w:basedOn w:val="73"/>
    <w:next w:val="25"/>
    <w:qFormat/>
    <w:uiPriority w:val="0"/>
    <w:pPr>
      <w:numPr>
        <w:ilvl w:val="5"/>
      </w:numPr>
      <w:tabs>
        <w:tab w:val="left" w:pos="360"/>
      </w:tabs>
      <w:outlineLvl w:val="5"/>
    </w:pPr>
  </w:style>
  <w:style w:type="paragraph" w:customStyle="1" w:styleId="73">
    <w:name w:val="附录三级条标题"/>
    <w:basedOn w:val="43"/>
    <w:next w:val="25"/>
    <w:qFormat/>
    <w:uiPriority w:val="0"/>
    <w:pPr>
      <w:numPr>
        <w:ilvl w:val="4"/>
      </w:numPr>
      <w:outlineLvl w:val="4"/>
    </w:pPr>
  </w:style>
  <w:style w:type="paragraph" w:customStyle="1" w:styleId="74">
    <w:name w:val="列项◆（三级）"/>
    <w:basedOn w:val="1"/>
    <w:qFormat/>
    <w:uiPriority w:val="0"/>
    <w:pPr>
      <w:numPr>
        <w:ilvl w:val="2"/>
        <w:numId w:val="8"/>
      </w:numPr>
    </w:pPr>
    <w:rPr>
      <w:rFonts w:ascii="宋体"/>
      <w:szCs w:val="21"/>
    </w:rPr>
  </w:style>
  <w:style w:type="paragraph" w:customStyle="1" w:styleId="75">
    <w:name w:val="正文图标题"/>
    <w:next w:val="25"/>
    <w:qFormat/>
    <w:uiPriority w:val="0"/>
    <w:pPr>
      <w:numPr>
        <w:ilvl w:val="0"/>
        <w:numId w:val="9"/>
      </w:numPr>
      <w:tabs>
        <w:tab w:val="left" w:pos="360"/>
      </w:tabs>
      <w:spacing w:before="156" w:beforeLines="50" w:after="156" w:afterLines="50"/>
      <w:jc w:val="center"/>
    </w:pPr>
    <w:rPr>
      <w:rFonts w:ascii="黑体" w:hAnsi="Calibri" w:eastAsia="黑体" w:cs="Times New Roman"/>
      <w:sz w:val="21"/>
      <w:lang w:val="en-US" w:eastAsia="zh-CN" w:bidi="ar-SA"/>
    </w:rPr>
  </w:style>
  <w:style w:type="paragraph" w:customStyle="1" w:styleId="76">
    <w:name w:val="标准书眉_奇数页"/>
    <w:next w:val="1"/>
    <w:qFormat/>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77">
    <w:name w:val="四级无"/>
    <w:basedOn w:val="55"/>
    <w:qFormat/>
    <w:uiPriority w:val="0"/>
    <w:pPr>
      <w:spacing w:before="0" w:beforeLines="0" w:after="0" w:afterLines="0"/>
    </w:pPr>
    <w:rPr>
      <w:rFonts w:ascii="宋体" w:eastAsia="宋体"/>
    </w:rPr>
  </w:style>
  <w:style w:type="paragraph" w:customStyle="1" w:styleId="78">
    <w:name w:val="图标脚注说明"/>
    <w:basedOn w:val="25"/>
    <w:qFormat/>
    <w:uiPriority w:val="0"/>
    <w:pPr>
      <w:ind w:left="840" w:hanging="420" w:firstLineChars="0"/>
    </w:pPr>
    <w:rPr>
      <w:sz w:val="18"/>
      <w:szCs w:val="18"/>
    </w:rPr>
  </w:style>
  <w:style w:type="paragraph" w:customStyle="1" w:styleId="79">
    <w:name w:val="封面标准英文名称"/>
    <w:basedOn w:val="80"/>
    <w:qFormat/>
    <w:uiPriority w:val="0"/>
    <w:pPr>
      <w:spacing w:before="370" w:line="400" w:lineRule="exact"/>
    </w:pPr>
    <w:rPr>
      <w:rFonts w:ascii="Times New Roman"/>
      <w:sz w:val="28"/>
      <w:szCs w:val="28"/>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Calibri" w:eastAsia="黑体" w:cs="Times New Roman"/>
      <w:sz w:val="52"/>
      <w:lang w:val="en-US" w:eastAsia="zh-CN" w:bidi="ar-SA"/>
    </w:rPr>
  </w:style>
  <w:style w:type="paragraph" w:customStyle="1" w:styleId="81">
    <w:name w:val="文献分类号"/>
    <w:qFormat/>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82">
    <w:name w:val="封面标准文稿类别2"/>
    <w:basedOn w:val="83"/>
    <w:qFormat/>
    <w:uiPriority w:val="0"/>
    <w:pPr>
      <w:framePr w:y="4469"/>
    </w:pPr>
  </w:style>
  <w:style w:type="paragraph" w:customStyle="1" w:styleId="83">
    <w:name w:val="封面标准文稿类别"/>
    <w:basedOn w:val="84"/>
    <w:qFormat/>
    <w:uiPriority w:val="0"/>
    <w:pPr>
      <w:spacing w:after="160" w:line="240" w:lineRule="auto"/>
    </w:pPr>
    <w:rPr>
      <w:sz w:val="24"/>
    </w:rPr>
  </w:style>
  <w:style w:type="paragraph" w:customStyle="1" w:styleId="84">
    <w:name w:val="封面一致性程度标识"/>
    <w:basedOn w:val="79"/>
    <w:qFormat/>
    <w:uiPriority w:val="0"/>
    <w:pPr>
      <w:spacing w:before="440"/>
    </w:pPr>
    <w:rPr>
      <w:rFonts w:ascii="宋体" w:eastAsia="宋体"/>
    </w:rPr>
  </w:style>
  <w:style w:type="paragraph" w:customStyle="1" w:styleId="85">
    <w:name w:val="五级无"/>
    <w:basedOn w:val="54"/>
    <w:qFormat/>
    <w:uiPriority w:val="0"/>
    <w:pPr>
      <w:spacing w:before="0" w:beforeLines="0" w:after="0" w:afterLines="0"/>
    </w:pPr>
    <w:rPr>
      <w:rFonts w:ascii="宋体" w:eastAsia="宋体"/>
    </w:rPr>
  </w:style>
  <w:style w:type="paragraph" w:customStyle="1" w:styleId="86">
    <w:name w:val="标准书脚_偶数页"/>
    <w:qFormat/>
    <w:uiPriority w:val="0"/>
    <w:pPr>
      <w:spacing w:before="120"/>
      <w:ind w:left="221"/>
    </w:pPr>
    <w:rPr>
      <w:rFonts w:ascii="宋体" w:hAnsi="Calibri" w:eastAsia="宋体" w:cs="Times New Roman"/>
      <w:sz w:val="18"/>
      <w:szCs w:val="18"/>
      <w:lang w:val="en-US" w:eastAsia="zh-CN" w:bidi="ar-SA"/>
    </w:rPr>
  </w:style>
  <w:style w:type="paragraph" w:customStyle="1" w:styleId="87">
    <w:name w:val="列项——（一级）"/>
    <w:qFormat/>
    <w:uiPriority w:val="0"/>
    <w:pPr>
      <w:widowControl w:val="0"/>
      <w:numPr>
        <w:ilvl w:val="0"/>
        <w:numId w:val="8"/>
      </w:numPr>
      <w:jc w:val="both"/>
    </w:pPr>
    <w:rPr>
      <w:rFonts w:ascii="宋体" w:hAnsi="Calibri" w:eastAsia="宋体" w:cs="Times New Roman"/>
      <w:sz w:val="21"/>
      <w:lang w:val="en-US" w:eastAsia="zh-CN" w:bidi="ar-SA"/>
    </w:rPr>
  </w:style>
  <w:style w:type="paragraph" w:customStyle="1" w:styleId="88">
    <w:name w:val="示例后文字"/>
    <w:basedOn w:val="25"/>
    <w:next w:val="25"/>
    <w:qFormat/>
    <w:uiPriority w:val="0"/>
    <w:pPr>
      <w:ind w:firstLine="360"/>
    </w:pPr>
    <w:rPr>
      <w:sz w:val="18"/>
    </w:rPr>
  </w:style>
  <w:style w:type="paragraph" w:customStyle="1" w:styleId="89">
    <w:name w:val="字母编号列项（一级）"/>
    <w:qFormat/>
    <w:uiPriority w:val="0"/>
    <w:pPr>
      <w:numPr>
        <w:ilvl w:val="0"/>
        <w:numId w:val="4"/>
      </w:numPr>
      <w:jc w:val="both"/>
    </w:pPr>
    <w:rPr>
      <w:rFonts w:ascii="宋体" w:hAnsi="Calibri" w:eastAsia="宋体" w:cs="Times New Roman"/>
      <w:sz w:val="21"/>
      <w:lang w:val="en-US" w:eastAsia="zh-CN" w:bidi="ar-SA"/>
    </w:rPr>
  </w:style>
  <w:style w:type="paragraph" w:customStyle="1" w:styleId="90">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1">
    <w:name w:val="附录标题"/>
    <w:basedOn w:val="25"/>
    <w:next w:val="25"/>
    <w:qFormat/>
    <w:uiPriority w:val="0"/>
    <w:pPr>
      <w:ind w:firstLine="0" w:firstLineChars="0"/>
      <w:jc w:val="center"/>
    </w:pPr>
    <w:rPr>
      <w:rFonts w:ascii="黑体" w:eastAsia="黑体"/>
    </w:rPr>
  </w:style>
  <w:style w:type="paragraph" w:customStyle="1" w:styleId="92">
    <w:name w:val="WPSOffice手动目录 1"/>
    <w:qFormat/>
    <w:uiPriority w:val="0"/>
    <w:rPr>
      <w:rFonts w:ascii="Calibri" w:hAnsi="Calibri" w:eastAsia="宋体" w:cs="Times New Roman"/>
      <w:lang w:val="en-US" w:eastAsia="zh-CN" w:bidi="ar-SA"/>
    </w:rPr>
  </w:style>
  <w:style w:type="paragraph" w:customStyle="1" w:styleId="93">
    <w:name w:val="附录标识"/>
    <w:basedOn w:val="1"/>
    <w:next w:val="25"/>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4">
    <w:name w:val="其他发布日期"/>
    <w:basedOn w:val="52"/>
    <w:qFormat/>
    <w:uiPriority w:val="0"/>
    <w:pPr>
      <w:framePr w:vAnchor="page" w:hAnchor="text" w:x="1419"/>
    </w:pPr>
  </w:style>
  <w:style w:type="paragraph" w:customStyle="1" w:styleId="95">
    <w:name w:val="前言、引言标题"/>
    <w:next w:val="25"/>
    <w:qFormat/>
    <w:uiPriority w:val="0"/>
    <w:pPr>
      <w:keepNext/>
      <w:pageBreakBefore/>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96">
    <w:name w:val="附录一级无"/>
    <w:basedOn w:val="97"/>
    <w:qFormat/>
    <w:uiPriority w:val="0"/>
    <w:pPr>
      <w:tabs>
        <w:tab w:val="left" w:pos="360"/>
      </w:tabs>
      <w:spacing w:before="0" w:beforeLines="0" w:after="0" w:afterLines="0"/>
    </w:pPr>
    <w:rPr>
      <w:rFonts w:ascii="宋体" w:eastAsia="宋体"/>
      <w:szCs w:val="21"/>
    </w:rPr>
  </w:style>
  <w:style w:type="paragraph" w:customStyle="1" w:styleId="97">
    <w:name w:val="附录一级条标题"/>
    <w:basedOn w:val="98"/>
    <w:next w:val="25"/>
    <w:qFormat/>
    <w:uiPriority w:val="0"/>
    <w:pPr>
      <w:numPr>
        <w:ilvl w:val="0"/>
        <w:numId w:val="0"/>
      </w:numPr>
      <w:tabs>
        <w:tab w:val="left" w:pos="360"/>
      </w:tabs>
      <w:autoSpaceDN w:val="0"/>
      <w:spacing w:before="50" w:beforeLines="50" w:after="50" w:afterLines="50"/>
      <w:outlineLvl w:val="2"/>
    </w:pPr>
  </w:style>
  <w:style w:type="paragraph" w:customStyle="1" w:styleId="98">
    <w:name w:val="附录章标题"/>
    <w:next w:val="25"/>
    <w:qFormat/>
    <w:uiPriority w:val="0"/>
    <w:pPr>
      <w:numPr>
        <w:ilvl w:val="1"/>
        <w:numId w:val="2"/>
      </w:numPr>
      <w:tabs>
        <w:tab w:val="left" w:pos="360"/>
      </w:tabs>
      <w:wordWrap w:val="0"/>
      <w:overflowPunct w:val="0"/>
      <w:autoSpaceDE w:val="0"/>
      <w:spacing w:before="100" w:beforeLines="100" w:after="100" w:afterLines="100"/>
      <w:jc w:val="both"/>
      <w:textAlignment w:val="baseline"/>
      <w:outlineLvl w:val="1"/>
    </w:pPr>
    <w:rPr>
      <w:rFonts w:ascii="黑体" w:hAnsi="Calibri" w:eastAsia="黑体" w:cs="Times New Roman"/>
      <w:kern w:val="21"/>
      <w:sz w:val="21"/>
      <w:lang w:val="en-US" w:eastAsia="zh-CN" w:bidi="ar-SA"/>
    </w:rPr>
  </w:style>
  <w:style w:type="paragraph" w:customStyle="1" w:styleId="99">
    <w:name w:val="其他发布部门"/>
    <w:basedOn w:val="68"/>
    <w:qFormat/>
    <w:uiPriority w:val="0"/>
    <w:pPr>
      <w:framePr w:y="15310"/>
      <w:spacing w:line="0" w:lineRule="atLeast"/>
    </w:pPr>
    <w:rPr>
      <w:rFonts w:ascii="黑体" w:eastAsia="黑体"/>
      <w:b w:val="0"/>
    </w:rPr>
  </w:style>
  <w:style w:type="paragraph" w:customStyle="1" w:styleId="100">
    <w:name w:val="注：（正文）"/>
    <w:basedOn w:val="101"/>
    <w:next w:val="25"/>
    <w:qFormat/>
    <w:uiPriority w:val="0"/>
  </w:style>
  <w:style w:type="paragraph" w:customStyle="1" w:styleId="101">
    <w:name w:val="注："/>
    <w:next w:val="25"/>
    <w:qFormat/>
    <w:uiPriority w:val="0"/>
    <w:pPr>
      <w:widowControl w:val="0"/>
      <w:autoSpaceDE w:val="0"/>
      <w:autoSpaceDN w:val="0"/>
      <w:ind w:left="726" w:hanging="363"/>
      <w:jc w:val="both"/>
    </w:pPr>
    <w:rPr>
      <w:rFonts w:ascii="宋体" w:hAnsi="Calibri" w:eastAsia="宋体" w:cs="Times New Roman"/>
      <w:sz w:val="18"/>
      <w:szCs w:val="18"/>
      <w:lang w:val="en-US" w:eastAsia="zh-CN" w:bidi="ar-SA"/>
    </w:rPr>
  </w:style>
  <w:style w:type="paragraph" w:customStyle="1" w:styleId="102">
    <w:name w:val="示例内容"/>
    <w:qFormat/>
    <w:uiPriority w:val="0"/>
    <w:pPr>
      <w:ind w:firstLine="200" w:firstLineChars="200"/>
    </w:pPr>
    <w:rPr>
      <w:rFonts w:ascii="宋体" w:hAnsi="Calibri" w:eastAsia="宋体" w:cs="Times New Roman"/>
      <w:sz w:val="18"/>
      <w:szCs w:val="18"/>
      <w:lang w:val="en-US" w:eastAsia="zh-CN" w:bidi="ar-SA"/>
    </w:rPr>
  </w:style>
  <w:style w:type="paragraph" w:customStyle="1" w:styleId="10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4">
    <w:name w:val="注×：（正文）"/>
    <w:qFormat/>
    <w:uiPriority w:val="0"/>
    <w:pPr>
      <w:numPr>
        <w:ilvl w:val="0"/>
        <w:numId w:val="10"/>
      </w:numPr>
      <w:jc w:val="both"/>
    </w:pPr>
    <w:rPr>
      <w:rFonts w:ascii="宋体" w:hAnsi="Calibri" w:eastAsia="宋体" w:cs="Times New Roman"/>
      <w:sz w:val="18"/>
      <w:szCs w:val="18"/>
      <w:lang w:val="en-US" w:eastAsia="zh-CN" w:bidi="ar-SA"/>
    </w:rPr>
  </w:style>
  <w:style w:type="paragraph" w:customStyle="1" w:styleId="105">
    <w:name w:val="数字编号列项（二级）"/>
    <w:qFormat/>
    <w:uiPriority w:val="0"/>
    <w:pPr>
      <w:numPr>
        <w:ilvl w:val="1"/>
        <w:numId w:val="4"/>
      </w:numPr>
      <w:jc w:val="both"/>
    </w:pPr>
    <w:rPr>
      <w:rFonts w:ascii="宋体" w:hAnsi="Calibri" w:eastAsia="宋体" w:cs="Times New Roman"/>
      <w:sz w:val="21"/>
      <w:lang w:val="en-US" w:eastAsia="zh-CN" w:bidi="ar-SA"/>
    </w:rPr>
  </w:style>
  <w:style w:type="paragraph" w:customStyle="1" w:styleId="106">
    <w:name w:val="附录数字编号列项（二级）"/>
    <w:qFormat/>
    <w:uiPriority w:val="0"/>
    <w:pPr>
      <w:numPr>
        <w:ilvl w:val="1"/>
        <w:numId w:val="11"/>
      </w:numPr>
    </w:pPr>
    <w:rPr>
      <w:rFonts w:ascii="宋体" w:hAnsi="Calibri" w:eastAsia="宋体" w:cs="Times New Roman"/>
      <w:sz w:val="21"/>
      <w:lang w:val="en-US" w:eastAsia="zh-CN" w:bidi="ar-SA"/>
    </w:rPr>
  </w:style>
  <w:style w:type="paragraph" w:customStyle="1" w:styleId="107">
    <w:name w:val="图表脚注说明"/>
    <w:basedOn w:val="1"/>
    <w:qFormat/>
    <w:uiPriority w:val="0"/>
    <w:pPr>
      <w:numPr>
        <w:ilvl w:val="0"/>
        <w:numId w:val="12"/>
      </w:numPr>
    </w:pPr>
    <w:rPr>
      <w:rFonts w:ascii="宋体"/>
      <w:sz w:val="18"/>
      <w:szCs w:val="18"/>
    </w:rPr>
  </w:style>
  <w:style w:type="paragraph" w:customStyle="1" w:styleId="108">
    <w:name w:val="标准文件_术语条一"/>
    <w:basedOn w:val="62"/>
    <w:next w:val="46"/>
    <w:qFormat/>
    <w:uiPriority w:val="0"/>
  </w:style>
  <w:style w:type="paragraph" w:customStyle="1" w:styleId="109">
    <w:name w:val="封面标准代替信息"/>
    <w:qFormat/>
    <w:uiPriority w:val="0"/>
    <w:pPr>
      <w:framePr w:w="9140" w:h="1242" w:hRule="exact" w:hSpace="284" w:wrap="around" w:vAnchor="page" w:hAnchor="page" w:x="1645" w:y="2910" w:anchorLock="1"/>
      <w:spacing w:before="57" w:line="280" w:lineRule="exact"/>
      <w:jc w:val="right"/>
    </w:pPr>
    <w:rPr>
      <w:rFonts w:ascii="宋体" w:hAnsi="Calibri" w:eastAsia="宋体" w:cs="Times New Roman"/>
      <w:sz w:val="21"/>
      <w:szCs w:val="21"/>
      <w:lang w:val="en-US" w:eastAsia="zh-CN" w:bidi="ar-SA"/>
    </w:rPr>
  </w:style>
  <w:style w:type="paragraph" w:customStyle="1" w:styleId="110">
    <w:name w:val="附录五级无"/>
    <w:basedOn w:val="111"/>
    <w:qFormat/>
    <w:uiPriority w:val="0"/>
    <w:pPr>
      <w:tabs>
        <w:tab w:val="left" w:pos="360"/>
      </w:tabs>
      <w:spacing w:before="0" w:beforeLines="0" w:after="0" w:afterLines="0"/>
    </w:pPr>
    <w:rPr>
      <w:rFonts w:ascii="宋体" w:eastAsia="宋体"/>
      <w:szCs w:val="21"/>
    </w:rPr>
  </w:style>
  <w:style w:type="paragraph" w:customStyle="1" w:styleId="111">
    <w:name w:val="附录五级条标题"/>
    <w:basedOn w:val="72"/>
    <w:next w:val="25"/>
    <w:qFormat/>
    <w:uiPriority w:val="0"/>
    <w:pPr>
      <w:numPr>
        <w:ilvl w:val="0"/>
        <w:numId w:val="0"/>
      </w:numPr>
      <w:outlineLvl w:val="6"/>
    </w:pPr>
  </w:style>
  <w:style w:type="paragraph" w:customStyle="1" w:styleId="112">
    <w:name w:val="彩色列表1"/>
    <w:basedOn w:val="1"/>
    <w:qFormat/>
    <w:uiPriority w:val="34"/>
    <w:pPr>
      <w:ind w:firstLine="420" w:firstLineChars="200"/>
    </w:pPr>
    <w:rPr>
      <w:szCs w:val="22"/>
    </w:rPr>
  </w:style>
  <w:style w:type="paragraph" w:customStyle="1" w:styleId="113">
    <w:name w:val="附录三级无"/>
    <w:basedOn w:val="73"/>
    <w:qFormat/>
    <w:uiPriority w:val="0"/>
    <w:pPr>
      <w:tabs>
        <w:tab w:val="clear" w:pos="360"/>
      </w:tabs>
      <w:spacing w:before="0" w:beforeLines="0" w:after="0" w:afterLines="0"/>
    </w:pPr>
    <w:rPr>
      <w:rFonts w:ascii="宋体" w:eastAsia="宋体"/>
      <w:szCs w:val="21"/>
    </w:rPr>
  </w:style>
  <w:style w:type="paragraph" w:customStyle="1" w:styleId="114">
    <w:name w:val="附录字母编号列项（一级）"/>
    <w:qFormat/>
    <w:uiPriority w:val="0"/>
    <w:pPr>
      <w:numPr>
        <w:ilvl w:val="0"/>
        <w:numId w:val="11"/>
      </w:numPr>
    </w:pPr>
    <w:rPr>
      <w:rFonts w:ascii="宋体" w:hAnsi="Calibri" w:eastAsia="宋体" w:cs="Times New Roman"/>
      <w:sz w:val="21"/>
      <w:lang w:val="en-US" w:eastAsia="zh-CN" w:bidi="ar-SA"/>
    </w:rPr>
  </w:style>
  <w:style w:type="paragraph" w:customStyle="1" w:styleId="115">
    <w:name w:val="标准文件_二级条标题"/>
    <w:next w:val="46"/>
    <w:qFormat/>
    <w:uiPriority w:val="0"/>
    <w:pPr>
      <w:widowControl w:val="0"/>
      <w:numPr>
        <w:ilvl w:val="3"/>
        <w:numId w:val="3"/>
      </w:numPr>
      <w:spacing w:before="50" w:beforeLines="50" w:after="50" w:afterLines="50"/>
      <w:jc w:val="both"/>
      <w:outlineLvl w:val="2"/>
    </w:pPr>
    <w:rPr>
      <w:rFonts w:ascii="黑体" w:hAnsi="Calibri" w:eastAsia="黑体" w:cs="Times New Roman"/>
      <w:sz w:val="21"/>
      <w:lang w:val="en-US" w:eastAsia="zh-CN" w:bidi="ar-SA"/>
    </w:rPr>
  </w:style>
  <w:style w:type="paragraph" w:customStyle="1" w:styleId="116">
    <w:name w:val="三级无"/>
    <w:basedOn w:val="56"/>
    <w:qFormat/>
    <w:uiPriority w:val="0"/>
    <w:pPr>
      <w:spacing w:before="0" w:beforeLines="0" w:after="0" w:afterLines="0"/>
    </w:pPr>
    <w:rPr>
      <w:rFonts w:ascii="宋体" w:eastAsia="宋体"/>
    </w:rPr>
  </w:style>
  <w:style w:type="paragraph" w:customStyle="1" w:styleId="117">
    <w:name w:val="标准文件_字母编号列项（一级）"/>
    <w:qFormat/>
    <w:uiPriority w:val="0"/>
    <w:pPr>
      <w:tabs>
        <w:tab w:val="left" w:pos="840"/>
      </w:tabs>
      <w:ind w:left="839" w:hanging="419"/>
      <w:jc w:val="both"/>
    </w:pPr>
    <w:rPr>
      <w:rFonts w:ascii="宋体" w:hAnsi="Calibri" w:eastAsia="宋体" w:cs="Times New Roman"/>
      <w:sz w:val="21"/>
      <w:lang w:val="en-US" w:eastAsia="zh-CN" w:bidi="ar-SA"/>
    </w:rPr>
  </w:style>
  <w:style w:type="paragraph" w:customStyle="1" w:styleId="11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9">
    <w:name w:val="附录图标题"/>
    <w:basedOn w:val="1"/>
    <w:next w:val="25"/>
    <w:qFormat/>
    <w:uiPriority w:val="0"/>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120">
    <w:name w:val="条文脚注"/>
    <w:basedOn w:val="26"/>
    <w:qFormat/>
    <w:uiPriority w:val="0"/>
    <w:pPr>
      <w:numPr>
        <w:numId w:val="0"/>
      </w:numPr>
      <w:jc w:val="both"/>
    </w:pPr>
  </w:style>
  <w:style w:type="paragraph" w:customStyle="1" w:styleId="121">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2">
    <w:name w:val="标准书眉_偶数页"/>
    <w:basedOn w:val="76"/>
    <w:next w:val="1"/>
    <w:qFormat/>
    <w:uiPriority w:val="0"/>
    <w:pPr>
      <w:jc w:val="left"/>
    </w:pPr>
  </w:style>
  <w:style w:type="paragraph" w:customStyle="1" w:styleId="123">
    <w:name w:val="其他实施日期"/>
    <w:basedOn w:val="51"/>
    <w:qFormat/>
    <w:uiPriority w:val="0"/>
  </w:style>
  <w:style w:type="paragraph" w:customStyle="1" w:styleId="124">
    <w:name w:val="正文公式编号制表符"/>
    <w:basedOn w:val="25"/>
    <w:next w:val="25"/>
    <w:qFormat/>
    <w:uiPriority w:val="0"/>
    <w:pPr>
      <w:ind w:firstLine="0" w:firstLineChars="0"/>
    </w:pPr>
  </w:style>
  <w:style w:type="paragraph" w:customStyle="1" w:styleId="125">
    <w:name w:val="封面正文"/>
    <w:qFormat/>
    <w:uiPriority w:val="0"/>
    <w:pPr>
      <w:jc w:val="both"/>
    </w:pPr>
    <w:rPr>
      <w:rFonts w:ascii="Calibri" w:hAnsi="Calibri" w:eastAsia="宋体" w:cs="Times New Roman"/>
      <w:lang w:val="en-US" w:eastAsia="zh-CN" w:bidi="ar-SA"/>
    </w:rPr>
  </w:style>
  <w:style w:type="paragraph" w:customStyle="1" w:styleId="126">
    <w:name w:val="封面标准英文名称2"/>
    <w:basedOn w:val="79"/>
    <w:qFormat/>
    <w:uiPriority w:val="0"/>
    <w:pPr>
      <w:framePr w:y="4469"/>
    </w:pPr>
  </w:style>
  <w:style w:type="paragraph" w:customStyle="1" w:styleId="127">
    <w:name w:val="终结线"/>
    <w:basedOn w:val="1"/>
    <w:qFormat/>
    <w:uiPriority w:val="0"/>
    <w:pPr>
      <w:framePr w:hSpace="181" w:vSpace="181" w:wrap="around" w:vAnchor="text" w:hAnchor="margin" w:xAlign="center" w:y="285"/>
    </w:pPr>
  </w:style>
  <w:style w:type="paragraph" w:customStyle="1" w:styleId="128">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29">
    <w:name w:val="封面一致性程度标识2"/>
    <w:basedOn w:val="84"/>
    <w:qFormat/>
    <w:uiPriority w:val="0"/>
    <w:pPr>
      <w:framePr w:y="4469"/>
    </w:pPr>
  </w:style>
  <w:style w:type="paragraph" w:customStyle="1" w:styleId="130">
    <w:name w:val="目次、索引正文"/>
    <w:qFormat/>
    <w:uiPriority w:val="0"/>
    <w:pPr>
      <w:spacing w:line="320" w:lineRule="exact"/>
      <w:jc w:val="both"/>
    </w:pPr>
    <w:rPr>
      <w:rFonts w:ascii="宋体" w:hAnsi="Calibri" w:eastAsia="宋体" w:cs="Times New Roman"/>
      <w:sz w:val="21"/>
      <w:lang w:val="en-US" w:eastAsia="zh-CN" w:bidi="ar-SA"/>
    </w:rPr>
  </w:style>
  <w:style w:type="paragraph" w:customStyle="1" w:styleId="131">
    <w:name w:val="首示例"/>
    <w:next w:val="25"/>
    <w:link w:val="14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paragraph" w:customStyle="1" w:styleId="132">
    <w:name w:val="附录表标题"/>
    <w:basedOn w:val="1"/>
    <w:next w:val="25"/>
    <w:qFormat/>
    <w:uiPriority w:val="0"/>
    <w:pPr>
      <w:numPr>
        <w:ilvl w:val="1"/>
        <w:numId w:val="7"/>
      </w:numPr>
      <w:tabs>
        <w:tab w:val="left" w:pos="180"/>
      </w:tabs>
      <w:spacing w:before="50" w:beforeLines="50" w:after="50" w:afterLines="50"/>
      <w:ind w:left="0" w:firstLine="0"/>
      <w:jc w:val="center"/>
    </w:pPr>
    <w:rPr>
      <w:rFonts w:ascii="黑体" w:eastAsia="黑体"/>
      <w:szCs w:val="21"/>
    </w:rPr>
  </w:style>
  <w:style w:type="paragraph" w:customStyle="1" w:styleId="13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4">
    <w:name w:val="封面标准名称2"/>
    <w:basedOn w:val="80"/>
    <w:qFormat/>
    <w:uiPriority w:val="0"/>
    <w:pPr>
      <w:framePr w:y="4469"/>
      <w:spacing w:before="630" w:beforeLines="630"/>
    </w:pPr>
  </w:style>
  <w:style w:type="paragraph" w:customStyle="1" w:styleId="135">
    <w:name w:val="示例"/>
    <w:next w:val="102"/>
    <w:qFormat/>
    <w:uiPriority w:val="0"/>
    <w:pPr>
      <w:widowControl w:val="0"/>
      <w:numPr>
        <w:ilvl w:val="0"/>
        <w:numId w:val="15"/>
      </w:numPr>
      <w:jc w:val="both"/>
    </w:pPr>
    <w:rPr>
      <w:rFonts w:ascii="宋体" w:hAnsi="Calibri" w:eastAsia="宋体" w:cs="Times New Roman"/>
      <w:sz w:val="18"/>
      <w:szCs w:val="18"/>
      <w:lang w:val="en-US" w:eastAsia="zh-CN" w:bidi="ar-SA"/>
    </w:rPr>
  </w:style>
  <w:style w:type="paragraph" w:customStyle="1" w:styleId="136">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137">
    <w:name w:val="封面标准文稿编辑信息2"/>
    <w:basedOn w:val="138"/>
    <w:qFormat/>
    <w:uiPriority w:val="0"/>
    <w:pPr>
      <w:framePr w:y="4469"/>
    </w:pPr>
  </w:style>
  <w:style w:type="paragraph" w:customStyle="1" w:styleId="138">
    <w:name w:val="封面标准文稿编辑信息"/>
    <w:basedOn w:val="83"/>
    <w:qFormat/>
    <w:uiPriority w:val="0"/>
    <w:pPr>
      <w:spacing w:before="180" w:line="180" w:lineRule="exact"/>
    </w:pPr>
    <w:rPr>
      <w:sz w:val="21"/>
    </w:rPr>
  </w:style>
  <w:style w:type="paragraph" w:customStyle="1" w:styleId="139">
    <w:name w:val="图的脚注"/>
    <w:next w:val="25"/>
    <w:qFormat/>
    <w:uiPriority w:val="0"/>
    <w:pPr>
      <w:widowControl w:val="0"/>
      <w:ind w:left="840" w:leftChars="200" w:hanging="420" w:hangingChars="200"/>
      <w:jc w:val="both"/>
    </w:pPr>
    <w:rPr>
      <w:rFonts w:ascii="宋体" w:hAnsi="Calibri" w:eastAsia="宋体" w:cs="Times New Roman"/>
      <w:sz w:val="18"/>
      <w:lang w:val="en-US" w:eastAsia="zh-CN" w:bidi="ar-SA"/>
    </w:rPr>
  </w:style>
  <w:style w:type="paragraph" w:customStyle="1" w:styleId="140">
    <w:name w:val="附录四级无"/>
    <w:basedOn w:val="72"/>
    <w:qFormat/>
    <w:uiPriority w:val="0"/>
    <w:pPr>
      <w:tabs>
        <w:tab w:val="clear" w:pos="360"/>
      </w:tabs>
      <w:spacing w:before="0" w:beforeLines="0" w:after="0" w:afterLines="0"/>
    </w:pPr>
    <w:rPr>
      <w:rFonts w:ascii="宋体" w:eastAsia="宋体"/>
      <w:szCs w:val="21"/>
    </w:rPr>
  </w:style>
  <w:style w:type="paragraph" w:customStyle="1" w:styleId="141">
    <w:name w:val="注×："/>
    <w:qFormat/>
    <w:uiPriority w:val="0"/>
    <w:pPr>
      <w:widowControl w:val="0"/>
      <w:numPr>
        <w:ilvl w:val="0"/>
        <w:numId w:val="16"/>
      </w:numPr>
      <w:autoSpaceDE w:val="0"/>
      <w:autoSpaceDN w:val="0"/>
      <w:jc w:val="both"/>
    </w:pPr>
    <w:rPr>
      <w:rFonts w:ascii="宋体" w:hAnsi="Calibri" w:eastAsia="宋体" w:cs="Times New Roman"/>
      <w:sz w:val="18"/>
      <w:szCs w:val="18"/>
      <w:lang w:val="en-US" w:eastAsia="zh-CN" w:bidi="ar-SA"/>
    </w:rPr>
  </w:style>
  <w:style w:type="paragraph" w:customStyle="1" w:styleId="142">
    <w:name w:val="列项说明数字编号"/>
    <w:qFormat/>
    <w:uiPriority w:val="0"/>
    <w:pPr>
      <w:ind w:left="600" w:leftChars="400" w:hanging="200" w:hangingChars="200"/>
    </w:pPr>
    <w:rPr>
      <w:rFonts w:ascii="宋体" w:hAnsi="Calibri" w:eastAsia="宋体" w:cs="Times New Roman"/>
      <w:sz w:val="21"/>
      <w:lang w:val="en-US" w:eastAsia="zh-CN" w:bidi="ar-SA"/>
    </w:rPr>
  </w:style>
  <w:style w:type="paragraph" w:customStyle="1" w:styleId="143">
    <w:name w:val="示例×："/>
    <w:basedOn w:val="59"/>
    <w:qFormat/>
    <w:uiPriority w:val="0"/>
    <w:pPr>
      <w:numPr>
        <w:numId w:val="17"/>
      </w:numPr>
      <w:spacing w:before="0" w:beforeLines="0" w:after="0" w:afterLines="0"/>
      <w:outlineLvl w:val="9"/>
    </w:pPr>
    <w:rPr>
      <w:rFonts w:ascii="宋体" w:eastAsia="宋体"/>
      <w:sz w:val="18"/>
      <w:szCs w:val="18"/>
    </w:rPr>
  </w:style>
  <w:style w:type="paragraph" w:customStyle="1" w:styleId="14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Calibri" w:eastAsia="宋体" w:cs="Times New Roman"/>
      <w:b/>
      <w:bCs/>
      <w:spacing w:val="20"/>
      <w:w w:val="148"/>
      <w:sz w:val="48"/>
      <w:lang w:val="en-US" w:eastAsia="zh-CN" w:bidi="ar-SA"/>
    </w:rPr>
  </w:style>
  <w:style w:type="character" w:customStyle="1" w:styleId="145">
    <w:name w:val="批注文字 字符"/>
    <w:link w:val="3"/>
    <w:qFormat/>
    <w:uiPriority w:val="0"/>
    <w:rPr>
      <w:rFonts w:ascii="Calibri" w:hAnsi="Calibri" w:eastAsia="宋体" w:cs="Times New Roman"/>
      <w:kern w:val="2"/>
      <w:sz w:val="21"/>
      <w:szCs w:val="24"/>
    </w:rPr>
  </w:style>
  <w:style w:type="character" w:customStyle="1" w:styleId="146">
    <w:name w:val="附录公式 Char"/>
    <w:link w:val="61"/>
    <w:qFormat/>
    <w:uiPriority w:val="0"/>
    <w:rPr>
      <w:rFonts w:ascii="Calibri" w:hAnsi="Calibri" w:eastAsia="宋体" w:cs="Times New Roman"/>
      <w:lang w:val="en-US" w:eastAsia="zh-CN" w:bidi="ar-SA"/>
    </w:rPr>
  </w:style>
  <w:style w:type="character" w:customStyle="1" w:styleId="147">
    <w:name w:val="批注框文本 字符"/>
    <w:link w:val="17"/>
    <w:qFormat/>
    <w:uiPriority w:val="0"/>
    <w:rPr>
      <w:rFonts w:ascii="Calibri" w:hAnsi="Calibri" w:eastAsia="宋体" w:cs="Times New Roman"/>
      <w:kern w:val="2"/>
      <w:sz w:val="18"/>
      <w:szCs w:val="18"/>
    </w:rPr>
  </w:style>
  <w:style w:type="character" w:customStyle="1" w:styleId="148">
    <w:name w:val="首示例 Char"/>
    <w:link w:val="131"/>
    <w:qFormat/>
    <w:uiPriority w:val="0"/>
    <w:rPr>
      <w:rFonts w:ascii="宋体" w:hAnsi="宋体" w:eastAsia="宋体" w:cs="Times New Roman"/>
      <w:kern w:val="2"/>
      <w:sz w:val="18"/>
      <w:szCs w:val="18"/>
      <w:lang w:val="en-US" w:eastAsia="zh-CN" w:bidi="ar-SA"/>
    </w:rPr>
  </w:style>
  <w:style w:type="character" w:customStyle="1" w:styleId="149">
    <w:name w:val="批注主题 字符"/>
    <w:link w:val="2"/>
    <w:qFormat/>
    <w:uiPriority w:val="0"/>
    <w:rPr>
      <w:rFonts w:ascii="Calibri" w:hAnsi="Calibri" w:eastAsia="宋体" w:cs="Times New Roman"/>
      <w:b/>
      <w:bCs/>
      <w:kern w:val="2"/>
      <w:sz w:val="21"/>
      <w:szCs w:val="24"/>
    </w:rPr>
  </w:style>
  <w:style w:type="character" w:customStyle="1" w:styleId="150">
    <w:name w:val="段 Char"/>
    <w:link w:val="25"/>
    <w:qFormat/>
    <w:uiPriority w:val="0"/>
    <w:rPr>
      <w:rFonts w:ascii="宋体" w:hAnsi="Calibri" w:eastAsia="宋体" w:cs="Times New Roman"/>
      <w:sz w:val="21"/>
      <w:lang w:val="en-US" w:eastAsia="zh-CN" w:bidi="ar-SA"/>
    </w:rPr>
  </w:style>
  <w:style w:type="character" w:customStyle="1" w:styleId="151">
    <w:name w:val="发布"/>
    <w:qFormat/>
    <w:uiPriority w:val="0"/>
    <w:rPr>
      <w:rFonts w:ascii="黑体" w:hAnsi="Calibri" w:eastAsia="黑体" w:cs="Times New Roman"/>
      <w:spacing w:val="85"/>
      <w:w w:val="100"/>
      <w:position w:val="3"/>
      <w:sz w:val="28"/>
      <w:szCs w:val="28"/>
    </w:rPr>
  </w:style>
  <w:style w:type="character" w:customStyle="1" w:styleId="152">
    <w:name w:val="占位符文本1"/>
    <w:basedOn w:val="33"/>
    <w:unhideWhenUsed/>
    <w:qFormat/>
    <w:uiPriority w:val="99"/>
    <w:rPr>
      <w:color w:val="808080"/>
    </w:rPr>
  </w:style>
  <w:style w:type="paragraph" w:customStyle="1" w:styleId="153">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lin\C:\home\kylin\E:\&#24037;&#20316;&#25991;&#20214;\&#27178;&#21521;&#35838;&#39064;\2015&#24180;&#24230;\1-&#30005;&#21830;&#29289;&#27969;&#32852;&#30431;\&#30005;&#21830;&#29289;&#27969;&#26381;&#21153;&#35268;&#33539;\&#23457;&#26597;&#20250;&#21518;&#20462;&#25913;\&#30005;&#23376;&#21830;&#21153;&#29289;&#27969;&#26381;&#21153;&#35268;&#33539;-&#25253;&#25209;&#31295;2015060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电子商务物流服务规范-报批稿20150605.dot</Template>
  <Company>Kingsoft</Company>
  <Pages>9</Pages>
  <Words>3699</Words>
  <Characters>4330</Characters>
  <Lines>48</Lines>
  <Paragraphs>13</Paragraphs>
  <TotalTime>0</TotalTime>
  <ScaleCrop>false</ScaleCrop>
  <LinksUpToDate>false</LinksUpToDate>
  <CharactersWithSpaces>7386</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2022-02-23T01:54:00Z</dcterms:created>
  <dc:creator>夏钦</dc:creator>
  <cp:lastModifiedBy>acer</cp:lastModifiedBy>
  <cp:lastPrinted>2022-04-02T19:23:00Z</cp:lastPrinted>
  <dcterms:modified xsi:type="dcterms:W3CDTF">2022-07-14T11:50:59Z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