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sz w:val="36"/>
          <w:szCs w:val="36"/>
        </w:rPr>
      </w:pPr>
      <w:bookmarkStart w:id="0" w:name="_GoBack"/>
      <w:bookmarkEnd w:id="0"/>
      <w:r>
        <w:rPr>
          <w:rFonts w:hint="eastAsia"/>
          <w:sz w:val="36"/>
          <w:szCs w:val="36"/>
        </w:rPr>
        <w:t>《城乡配送服务质量规范</w:t>
      </w:r>
      <w:r>
        <w:rPr>
          <w:rFonts w:hint="eastAsia"/>
          <w:sz w:val="36"/>
          <w:szCs w:val="36"/>
          <w:lang w:eastAsia="zh-CN"/>
        </w:rPr>
        <w:t>（征求意见稿）</w:t>
      </w:r>
      <w:r>
        <w:rPr>
          <w:rFonts w:hint="eastAsia"/>
          <w:sz w:val="36"/>
          <w:szCs w:val="36"/>
        </w:rPr>
        <w:t>》编制说明</w:t>
      </w:r>
    </w:p>
    <w:p>
      <w:pPr>
        <w:pStyle w:val="2"/>
        <w:pageBreakBefore w:val="0"/>
        <w:widowControl/>
        <w:numPr>
          <w:ilvl w:val="0"/>
          <w:numId w:val="0"/>
        </w:numPr>
        <w:kinsoku/>
        <w:wordWrap/>
        <w:overflowPunct/>
        <w:topLinePunct w:val="0"/>
        <w:bidi w:val="0"/>
        <w:adjustRightInd/>
        <w:snapToGrid/>
        <w:spacing w:before="0" w:beforeAutospacing="0" w:after="0" w:afterAutospacing="0" w:line="240" w:lineRule="auto"/>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44"/>
          <w:lang w:val="en-US" w:eastAsia="zh-CN"/>
        </w:rPr>
        <w:t xml:space="preserve">    </w:t>
      </w:r>
      <w:r>
        <w:rPr>
          <w:rFonts w:hint="eastAsia" w:ascii="黑体" w:hAnsi="黑体" w:eastAsia="黑体" w:cs="黑体"/>
          <w:b w:val="0"/>
          <w:bCs/>
          <w:kern w:val="2"/>
          <w:sz w:val="32"/>
          <w:szCs w:val="32"/>
          <w:lang w:eastAsia="zh-CN"/>
        </w:rPr>
        <w:t>一、</w:t>
      </w:r>
      <w:r>
        <w:rPr>
          <w:rFonts w:hint="eastAsia" w:ascii="黑体" w:hAnsi="黑体" w:eastAsia="黑体" w:cs="黑体"/>
          <w:b w:val="0"/>
          <w:bCs/>
          <w:kern w:val="2"/>
          <w:sz w:val="32"/>
          <w:szCs w:val="32"/>
        </w:rPr>
        <w:t>项目来源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t>本文件由中国仓储与配送协会提出，商务部归口管理。2018年7月商务</w:t>
      </w:r>
      <w:r>
        <w:rPr>
          <w:rFonts w:hint="default" w:ascii="仿宋_GB2312" w:hAnsi="仿宋_GB2312" w:eastAsia="仿宋_GB2312" w:cs="仿宋_GB2312"/>
          <w:b w:val="0"/>
          <w:bCs/>
          <w:kern w:val="2"/>
          <w:sz w:val="32"/>
          <w:szCs w:val="32"/>
          <w:lang w:val="en"/>
        </w:rPr>
        <w:t>部印发了</w:t>
      </w:r>
      <w:r>
        <w:rPr>
          <w:rFonts w:hint="eastAsia" w:ascii="仿宋_GB2312" w:hAnsi="仿宋_GB2312" w:eastAsia="仿宋_GB2312" w:cs="仿宋_GB2312"/>
          <w:b w:val="0"/>
          <w:bCs/>
          <w:kern w:val="2"/>
          <w:sz w:val="32"/>
          <w:szCs w:val="32"/>
        </w:rPr>
        <w:t xml:space="preserve">《商务部办公厅关于下达2018年流通行业标准项目计划的通知》（商办流通函〔2018〕228号），《城乡配送服务质量规范》列入该行业标准项目计划。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bCs/>
          <w:kern w:val="2"/>
          <w:sz w:val="32"/>
          <w:szCs w:val="44"/>
          <w:lang w:val="en-US" w:eastAsia="zh-CN"/>
        </w:rPr>
      </w:pPr>
      <w:r>
        <w:rPr>
          <w:rFonts w:hint="eastAsia" w:ascii="仿宋_GB2312" w:hAnsi="仿宋_GB2312" w:eastAsia="仿宋_GB2312" w:cs="仿宋_GB2312"/>
          <w:b w:val="0"/>
          <w:kern w:val="2"/>
          <w:sz w:val="32"/>
          <w:szCs w:val="32"/>
        </w:rPr>
        <w:t>参与本文件制定单位有中国仓储与配送协会、湖北省标准化与质量研究院、江苏苏宁物流有限公司、北京三快在线科技有限公司、深圳市凯东源现代物流股份有限公司、厦门唯捷城市配送有限公司、晋城市远中供应链管理有限公司、河南华鼎供应链管理有限公司、湖南省康程物流有限责任公司、苏州麦得邻信息科技有限公司、四川八界供应链管理服务有限公司、山东乐物信息科技有限公司、徐州飞马配送服务有限公司、江西省物流与采购联合会、河南省物流协会、成都物流协会、湖北康华智慧物流园公司、四川资云同商科技有限公司、河北物恋云仓科技有限公司、中国标准化研究</w:t>
      </w:r>
      <w:r>
        <w:rPr>
          <w:rFonts w:hint="eastAsia" w:ascii="仿宋_GB2312" w:hAnsi="仿宋_GB2312" w:eastAsia="仿宋_GB2312" w:cs="仿宋_GB2312"/>
          <w:b w:val="0"/>
          <w:bCs/>
          <w:kern w:val="2"/>
          <w:sz w:val="32"/>
          <w:szCs w:val="44"/>
          <w:lang w:val="en-US" w:eastAsia="zh-CN"/>
        </w:rPr>
        <w:t>院。</w:t>
      </w:r>
    </w:p>
    <w:p>
      <w:pPr>
        <w:pStyle w:val="2"/>
        <w:pageBreakBefore w:val="0"/>
        <w:widowControl/>
        <w:numPr>
          <w:ilvl w:val="0"/>
          <w:numId w:val="0"/>
        </w:numPr>
        <w:kinsoku/>
        <w:wordWrap/>
        <w:overflowPunct/>
        <w:topLinePunct w:val="0"/>
        <w:bidi w:val="0"/>
        <w:adjustRightInd/>
        <w:snapToGrid/>
        <w:spacing w:before="0" w:beforeAutospacing="0" w:after="0" w:afterAutospacing="0" w:line="240" w:lineRule="auto"/>
        <w:textAlignment w:val="auto"/>
        <w:rPr>
          <w:rFonts w:hint="eastAsia" w:ascii="黑体" w:hAnsi="黑体" w:eastAsia="黑体" w:cs="黑体"/>
          <w:b w:val="0"/>
          <w:bCs/>
          <w:kern w:val="2"/>
          <w:sz w:val="32"/>
          <w:szCs w:val="44"/>
          <w:lang w:val="en-US" w:eastAsia="zh-CN"/>
        </w:rPr>
      </w:pPr>
      <w:r>
        <w:rPr>
          <w:rFonts w:hint="eastAsia" w:ascii="黑体" w:hAnsi="黑体" w:eastAsia="黑体" w:cs="黑体"/>
          <w:b w:val="0"/>
          <w:bCs/>
          <w:kern w:val="2"/>
          <w:sz w:val="32"/>
          <w:szCs w:val="44"/>
          <w:lang w:val="en-US" w:eastAsia="zh-CN"/>
        </w:rPr>
        <w:t xml:space="preserve">    二、标准名称变更</w:t>
      </w:r>
    </w:p>
    <w:p>
      <w:pPr>
        <w:pStyle w:val="2"/>
        <w:pageBreakBefore w:val="0"/>
        <w:widowControl/>
        <w:numPr>
          <w:ilvl w:val="0"/>
          <w:numId w:val="0"/>
        </w:numPr>
        <w:kinsoku/>
        <w:wordWrap/>
        <w:overflowPunct/>
        <w:topLinePunct w:val="0"/>
        <w:bidi w:val="0"/>
        <w:adjustRightInd/>
        <w:snapToGrid/>
        <w:spacing w:before="0" w:beforeAutospacing="0" w:after="0" w:afterAutospacing="0" w:line="240" w:lineRule="auto"/>
        <w:ind w:firstLine="640"/>
        <w:textAlignment w:val="auto"/>
        <w:rPr>
          <w:rFonts w:hint="eastAsia" w:ascii="仿宋_GB2312" w:hAnsi="仿宋_GB2312" w:eastAsia="仿宋_GB2312" w:cs="仿宋_GB2312"/>
          <w:b w:val="0"/>
          <w:bCs/>
          <w:kern w:val="2"/>
          <w:sz w:val="32"/>
          <w:szCs w:val="44"/>
          <w:lang w:val="en-US" w:eastAsia="zh-CN"/>
        </w:rPr>
      </w:pPr>
      <w:r>
        <w:rPr>
          <w:rFonts w:hint="eastAsia" w:ascii="仿宋_GB2312" w:hAnsi="仿宋_GB2312" w:eastAsia="仿宋_GB2312" w:cs="仿宋_GB2312"/>
          <w:b w:val="0"/>
          <w:bCs/>
          <w:kern w:val="2"/>
          <w:sz w:val="32"/>
          <w:szCs w:val="44"/>
          <w:lang w:val="en-US" w:eastAsia="zh-CN"/>
        </w:rPr>
        <w:t>标准名称未变更，与申报时一致。</w:t>
      </w:r>
    </w:p>
    <w:p>
      <w:pPr>
        <w:pStyle w:val="2"/>
        <w:pageBreakBefore w:val="0"/>
        <w:widowControl/>
        <w:numPr>
          <w:ilvl w:val="0"/>
          <w:numId w:val="0"/>
        </w:numPr>
        <w:kinsoku/>
        <w:wordWrap/>
        <w:overflowPunct/>
        <w:topLinePunct w:val="0"/>
        <w:bidi w:val="0"/>
        <w:adjustRightInd/>
        <w:snapToGrid/>
        <w:spacing w:before="0" w:beforeAutospacing="0" w:after="0" w:afterAutospacing="0" w:line="240" w:lineRule="auto"/>
        <w:ind w:firstLine="64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三、 标准编写的目的、意义</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本文件的制定与实施，一方面是贯彻落实商务部、国家标准委</w:t>
      </w:r>
      <w:r>
        <w:rPr>
          <w:rFonts w:hint="default" w:ascii="仿宋_GB2312" w:hAnsi="仿宋_GB2312" w:eastAsia="仿宋_GB2312" w:cs="仿宋_GB2312"/>
          <w:sz w:val="32"/>
          <w:szCs w:val="32"/>
          <w:lang w:val="en"/>
        </w:rPr>
        <w:t>印发的</w:t>
      </w:r>
      <w:r>
        <w:rPr>
          <w:rFonts w:hint="eastAsia" w:ascii="仿宋_GB2312" w:hAnsi="仿宋_GB2312" w:eastAsia="仿宋_GB2312" w:cs="仿宋_GB2312"/>
          <w:sz w:val="32"/>
          <w:szCs w:val="32"/>
        </w:rPr>
        <w:t>《国内贸易流通标准化建设“十三五”规划（2016-2020年）》（商流通发</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sz w:val="32"/>
          <w:szCs w:val="32"/>
        </w:rPr>
        <w:t>2016</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sz w:val="32"/>
          <w:szCs w:val="32"/>
        </w:rPr>
        <w:t>479号）、国家标准委</w:t>
      </w:r>
      <w:r>
        <w:rPr>
          <w:rFonts w:hint="default" w:ascii="仿宋_GB2312" w:hAnsi="仿宋_GB2312" w:eastAsia="仿宋_GB2312" w:cs="仿宋_GB2312"/>
          <w:sz w:val="32"/>
          <w:szCs w:val="32"/>
          <w:lang w:val="en"/>
        </w:rPr>
        <w:t>印发的</w:t>
      </w:r>
      <w:r>
        <w:rPr>
          <w:rFonts w:hint="eastAsia" w:ascii="仿宋_GB2312" w:hAnsi="仿宋_GB2312" w:eastAsia="仿宋_GB2312" w:cs="仿宋_GB2312"/>
          <w:sz w:val="32"/>
          <w:szCs w:val="32"/>
        </w:rPr>
        <w:t>《2018年全国标准化工作要点》等文件</w:t>
      </w:r>
      <w:r>
        <w:rPr>
          <w:rFonts w:hint="default" w:ascii="仿宋_GB2312" w:hAnsi="仿宋_GB2312" w:eastAsia="仿宋_GB2312" w:cs="仿宋_GB2312"/>
          <w:sz w:val="32"/>
          <w:szCs w:val="32"/>
          <w:lang w:val="en"/>
        </w:rPr>
        <w:t>中关于</w:t>
      </w:r>
      <w:r>
        <w:rPr>
          <w:rFonts w:hint="eastAsia" w:ascii="仿宋_GB2312" w:hAnsi="仿宋_GB2312" w:eastAsia="仿宋_GB2312" w:cs="仿宋_GB2312"/>
          <w:sz w:val="32"/>
          <w:szCs w:val="32"/>
        </w:rPr>
        <w:t>“加快物流等重点领域标准研制”精神，弥补城乡配送相关标准的空白；另一方面，本文件也是进一步贯彻落实商务部等五部门联合发布的《城乡高效配送专项行动计划（2017-2020年）》重要措施，规范城乡配送企业的服务功能与服务质量，为城乡配送企业的配送服务标准化提供支撑，提升物流配送企业作业效率，提高城乡配送服务质量，降低物流成本，解决城乡配送最后一公里的难题，更好地满足城乡生产、流通单位及城乡居民生活的需求，促进城乡经济发展。</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四、主要工作过程</w:t>
      </w:r>
    </w:p>
    <w:p>
      <w:pPr>
        <w:pStyle w:val="2"/>
        <w:pageBreakBefore w:val="0"/>
        <w:widowControl/>
        <w:kinsoku/>
        <w:wordWrap/>
        <w:overflowPunct/>
        <w:topLinePunct w:val="0"/>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标准立项后，由主要起草单位牵头成立了编写工作组。并主要进行了如下工作：</w:t>
      </w:r>
    </w:p>
    <w:p>
      <w:pPr>
        <w:pStyle w:val="2"/>
        <w:pageBreakBefore w:val="0"/>
        <w:widowControl/>
        <w:kinsoku/>
        <w:wordWrap/>
        <w:overflowPunct/>
        <w:topLinePunct w:val="0"/>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成立编写工作组</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2018年7月</w:t>
      </w:r>
      <w:r>
        <w:rPr>
          <w:rFonts w:hint="eastAsia" w:ascii="仿宋_GB2312" w:hAnsi="仿宋_GB2312" w:eastAsia="仿宋_GB2312" w:cs="仿宋_GB2312"/>
          <w:b w:val="0"/>
          <w:kern w:val="2"/>
          <w:sz w:val="32"/>
          <w:szCs w:val="32"/>
        </w:rPr>
        <w:t>，《商务部办公厅关于下达2018年流通行业标准项目计划的通知》（商办流通函〔2018〕228号）下达，通过召开标准项目部署会议，制定了标准工作方案，并成立编写工作组，确定项目负责人，其他参编单位的相关人员为小组人员。</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收集材料阶段</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2018年8月至12月</w:t>
      </w:r>
      <w:r>
        <w:rPr>
          <w:rFonts w:hint="eastAsia" w:ascii="仿宋_GB2312" w:hAnsi="仿宋_GB2312" w:eastAsia="仿宋_GB2312" w:cs="仿宋_GB2312"/>
          <w:b w:val="0"/>
          <w:kern w:val="2"/>
          <w:sz w:val="32"/>
          <w:szCs w:val="32"/>
        </w:rPr>
        <w:t>，编写工作组开始对《城乡配送服务质量规范》行业标准进行资料收集。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标准调研</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2019年1月至6月</w:t>
      </w:r>
      <w:r>
        <w:rPr>
          <w:rFonts w:hint="eastAsia" w:ascii="仿宋_GB2312" w:hAnsi="仿宋_GB2312" w:eastAsia="仿宋_GB2312" w:cs="仿宋_GB2312"/>
          <w:b w:val="0"/>
          <w:kern w:val="2"/>
          <w:sz w:val="32"/>
          <w:szCs w:val="32"/>
        </w:rPr>
        <w:t>，组织对山西、湖北、江苏、四川等省的城乡配送企业进行调研。</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形成标准草案稿</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2019年7月至12月，</w:t>
      </w:r>
      <w:r>
        <w:rPr>
          <w:rFonts w:hint="eastAsia" w:ascii="仿宋_GB2312" w:hAnsi="仿宋_GB2312" w:eastAsia="仿宋_GB2312" w:cs="仿宋_GB2312"/>
          <w:b w:val="0"/>
          <w:kern w:val="2"/>
          <w:sz w:val="32"/>
          <w:szCs w:val="32"/>
        </w:rPr>
        <w:t>编写工作组开始制定标准草案，并于小组内部组织专家召开专项会议，汇报、讨论标准编制的内容及进展。</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召开小组讨论会（线上）形成标准初稿</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2020年1月至4月</w:t>
      </w:r>
      <w:r>
        <w:rPr>
          <w:rFonts w:hint="eastAsia" w:ascii="仿宋_GB2312" w:hAnsi="仿宋_GB2312" w:eastAsia="仿宋_GB2312" w:cs="仿宋_GB2312"/>
          <w:b w:val="0"/>
          <w:kern w:val="2"/>
          <w:sz w:val="32"/>
          <w:szCs w:val="32"/>
        </w:rPr>
        <w:t>，考虑到全国疫情情况，主要编写单位组织在4月初召开了各参编单位的视频会议，集中讨论与研究标准草案稿，对标准的框架、内容、章节内容进行积极的讨论，形成标准初稿。</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kern w:val="2"/>
          <w:sz w:val="32"/>
          <w:szCs w:val="32"/>
        </w:rPr>
        <w:t>形成标准征求意见稿</w:t>
      </w:r>
      <w:r>
        <w:rPr>
          <w:rFonts w:hint="default" w:ascii="仿宋_GB2312" w:hAnsi="仿宋_GB2312" w:eastAsia="仿宋_GB2312" w:cs="仿宋_GB2312"/>
          <w:b w:val="0"/>
          <w:kern w:val="2"/>
          <w:sz w:val="32"/>
          <w:szCs w:val="32"/>
          <w:lang w:val="en"/>
        </w:rPr>
        <w:t>。</w:t>
      </w:r>
      <w:r>
        <w:rPr>
          <w:rFonts w:hint="eastAsia" w:ascii="仿宋_GB2312" w:hAnsi="仿宋_GB2312" w:eastAsia="仿宋_GB2312" w:cs="仿宋_GB2312"/>
          <w:b w:val="0"/>
          <w:kern w:val="2"/>
          <w:sz w:val="32"/>
          <w:szCs w:val="32"/>
          <w:u w:val="none"/>
        </w:rPr>
        <w:t>2020年5月至9月</w:t>
      </w:r>
      <w:r>
        <w:rPr>
          <w:rFonts w:hint="eastAsia" w:ascii="仿宋_GB2312" w:hAnsi="仿宋_GB2312" w:eastAsia="仿宋_GB2312" w:cs="仿宋_GB2312"/>
          <w:b w:val="0"/>
          <w:kern w:val="2"/>
          <w:sz w:val="32"/>
          <w:szCs w:val="32"/>
        </w:rPr>
        <w:t>，在初稿基础上，组织相关专家进行6次讨论、修改，10月形成本征求意见稿。</w:t>
      </w:r>
      <w:r>
        <w:rPr>
          <w:rFonts w:hint="eastAsia" w:ascii="仿宋_GB2312" w:hAnsi="仿宋_GB2312" w:eastAsia="仿宋_GB2312" w:cs="仿宋_GB2312"/>
          <w:kern w:val="2"/>
          <w:sz w:val="32"/>
          <w:szCs w:val="32"/>
          <w:lang w:val="en-US" w:eastAsia="zh-CN"/>
        </w:rPr>
        <w:t xml:space="preserve"> </w:t>
      </w:r>
    </w:p>
    <w:p>
      <w:pPr>
        <w:pStyle w:val="2"/>
        <w:pageBreakBefore w:val="0"/>
        <w:widowControl/>
        <w:numPr>
          <w:ilvl w:val="0"/>
          <w:numId w:val="0"/>
        </w:numPr>
        <w:kinsoku/>
        <w:wordWrap/>
        <w:overflowPunct/>
        <w:topLinePunct w:val="0"/>
        <w:bidi w:val="0"/>
        <w:adjustRightInd/>
        <w:snapToGrid/>
        <w:spacing w:before="0" w:beforeAutospacing="0" w:after="0" w:afterAutospacing="0" w:line="240" w:lineRule="auto"/>
        <w:textAlignment w:val="auto"/>
        <w:rPr>
          <w:rFonts w:hint="eastAsia" w:ascii="黑体" w:hAnsi="黑体" w:eastAsia="黑体" w:cs="黑体"/>
          <w:b w:val="0"/>
          <w:bCs/>
          <w:kern w:val="2"/>
          <w:sz w:val="32"/>
          <w:szCs w:val="32"/>
        </w:rPr>
      </w:pPr>
      <w:r>
        <w:rPr>
          <w:rFonts w:hint="eastAsia" w:ascii="仿宋_GB2312" w:hAnsi="仿宋_GB2312" w:eastAsia="仿宋_GB2312" w:cs="仿宋_GB2312"/>
          <w:kern w:val="2"/>
          <w:sz w:val="32"/>
          <w:szCs w:val="32"/>
          <w:lang w:val="en-US" w:eastAsia="zh-CN"/>
        </w:rPr>
        <w:t xml:space="preserve">    </w:t>
      </w:r>
      <w:r>
        <w:rPr>
          <w:rFonts w:hint="eastAsia" w:ascii="黑体" w:hAnsi="黑体" w:eastAsia="黑体" w:cs="黑体"/>
          <w:b w:val="0"/>
          <w:bCs/>
          <w:kern w:val="2"/>
          <w:sz w:val="32"/>
          <w:szCs w:val="32"/>
        </w:rPr>
        <w:t>五、标准编制原则</w:t>
      </w:r>
    </w:p>
    <w:p>
      <w:pPr>
        <w:pStyle w:val="2"/>
        <w:pageBreakBefore w:val="0"/>
        <w:widowControl/>
        <w:kinsoku/>
        <w:wordWrap/>
        <w:overflowPunct/>
        <w:topLinePunct w:val="0"/>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本文件按照GB/T 1.1-2020、GB/T 20001.7-2017给出的规则进行编写。编制过程中，参考了相关国家标准、行业标准和法律法规的要求，充分收集现有行业资料，借鉴相近行业国家标准和行业标准的编制情况，力求以实事求是的原则使行业标准具有科学性、先进性。本标准的制定依据以下原则：</w:t>
      </w:r>
    </w:p>
    <w:p>
      <w:pPr>
        <w:pStyle w:val="2"/>
        <w:pageBreakBefore w:val="0"/>
        <w:widowControl/>
        <w:kinsoku/>
        <w:wordWrap/>
        <w:overflowPunct/>
        <w:topLinePunct w:val="0"/>
        <w:bidi w:val="0"/>
        <w:adjustRightInd/>
        <w:snapToGrid/>
        <w:spacing w:before="0" w:beforeAutospacing="0" w:after="0" w:afterAutospacing="0" w:line="240" w:lineRule="auto"/>
        <w:ind w:firstLine="642" w:firstLineChars="200"/>
        <w:textAlignment w:val="auto"/>
        <w:rPr>
          <w:rFonts w:hint="eastAsia" w:ascii="仿宋_GB2312" w:hAnsi="仿宋_GB2312" w:eastAsia="仿宋_GB2312" w:cs="仿宋_GB2312"/>
          <w:b w:val="0"/>
          <w:kern w:val="2"/>
          <w:sz w:val="32"/>
          <w:szCs w:val="32"/>
        </w:rPr>
      </w:pPr>
      <w:r>
        <w:rPr>
          <w:rFonts w:hint="eastAsia" w:ascii="楷体" w:hAnsi="楷体" w:eastAsia="楷体" w:cs="楷体"/>
          <w:b/>
          <w:bCs/>
          <w:kern w:val="2"/>
          <w:sz w:val="32"/>
          <w:szCs w:val="32"/>
        </w:rPr>
        <w:t>（</w:t>
      </w:r>
      <w:r>
        <w:rPr>
          <w:rFonts w:hint="eastAsia" w:ascii="楷体" w:hAnsi="楷体" w:eastAsia="楷体" w:cs="楷体"/>
          <w:b/>
          <w:bCs/>
          <w:kern w:val="2"/>
          <w:sz w:val="32"/>
          <w:szCs w:val="32"/>
          <w:lang w:eastAsia="zh-CN"/>
        </w:rPr>
        <w:t>一</w:t>
      </w:r>
      <w:r>
        <w:rPr>
          <w:rFonts w:hint="eastAsia" w:ascii="楷体" w:hAnsi="楷体" w:eastAsia="楷体" w:cs="楷体"/>
          <w:b/>
          <w:bCs/>
          <w:kern w:val="2"/>
          <w:sz w:val="32"/>
          <w:szCs w:val="32"/>
        </w:rPr>
        <w:t>）统一性原则。</w:t>
      </w:r>
      <w:r>
        <w:rPr>
          <w:rFonts w:hint="eastAsia" w:ascii="仿宋_GB2312" w:hAnsi="仿宋_GB2312" w:eastAsia="仿宋_GB2312" w:cs="仿宋_GB2312"/>
          <w:b w:val="0"/>
          <w:kern w:val="2"/>
          <w:sz w:val="32"/>
          <w:szCs w:val="32"/>
        </w:rPr>
        <w:t>标准内结构、文体、术语都实现统一，保证标准的使用者无歧义地理解。</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2" w:firstLineChars="200"/>
        <w:textAlignment w:val="auto"/>
        <w:rPr>
          <w:rFonts w:hint="eastAsia" w:ascii="仿宋_GB2312" w:hAnsi="仿宋_GB2312" w:eastAsia="仿宋_GB2312" w:cs="仿宋_GB2312"/>
          <w:b w:val="0"/>
          <w:kern w:val="2"/>
          <w:sz w:val="32"/>
          <w:szCs w:val="32"/>
        </w:rPr>
      </w:pPr>
      <w:r>
        <w:rPr>
          <w:rFonts w:hint="eastAsia" w:ascii="楷体" w:hAnsi="楷体" w:eastAsia="楷体" w:cs="楷体"/>
          <w:b/>
          <w:bCs/>
          <w:kern w:val="2"/>
          <w:sz w:val="32"/>
          <w:szCs w:val="32"/>
        </w:rPr>
        <w:t>（</w:t>
      </w:r>
      <w:r>
        <w:rPr>
          <w:rFonts w:hint="eastAsia" w:ascii="楷体" w:hAnsi="楷体" w:eastAsia="楷体" w:cs="楷体"/>
          <w:b/>
          <w:bCs/>
          <w:kern w:val="2"/>
          <w:sz w:val="32"/>
          <w:szCs w:val="32"/>
          <w:lang w:eastAsia="zh-CN"/>
        </w:rPr>
        <w:t>二</w:t>
      </w:r>
      <w:r>
        <w:rPr>
          <w:rFonts w:hint="eastAsia" w:ascii="楷体" w:hAnsi="楷体" w:eastAsia="楷体" w:cs="楷体"/>
          <w:b/>
          <w:bCs/>
          <w:kern w:val="2"/>
          <w:sz w:val="32"/>
          <w:szCs w:val="32"/>
        </w:rPr>
        <w:t>）协调性原则。</w:t>
      </w:r>
      <w:r>
        <w:rPr>
          <w:rFonts w:hint="eastAsia" w:ascii="仿宋_GB2312" w:hAnsi="仿宋_GB2312" w:eastAsia="仿宋_GB2312" w:cs="仿宋_GB2312"/>
          <w:b w:val="0"/>
          <w:kern w:val="2"/>
          <w:sz w:val="32"/>
          <w:szCs w:val="32"/>
        </w:rPr>
        <w:t>本文件作为流通行业中城乡配送服务的行业标准，征求了流通行业多家企业的参考意见和现实需求，从行业角度来说，达到协调统一。</w:t>
      </w:r>
    </w:p>
    <w:p>
      <w:pPr>
        <w:pStyle w:val="2"/>
        <w:pageBreakBefore w:val="0"/>
        <w:widowControl/>
        <w:kinsoku/>
        <w:wordWrap/>
        <w:overflowPunct/>
        <w:topLinePunct w:val="0"/>
        <w:bidi w:val="0"/>
        <w:adjustRightInd/>
        <w:snapToGrid/>
        <w:spacing w:before="0" w:beforeAutospacing="0" w:after="0" w:afterAutospacing="0" w:line="240" w:lineRule="auto"/>
        <w:ind w:firstLine="642" w:firstLineChars="200"/>
        <w:textAlignment w:val="auto"/>
        <w:rPr>
          <w:rFonts w:hint="eastAsia" w:ascii="仿宋_GB2312" w:hAnsi="仿宋_GB2312" w:eastAsia="仿宋_GB2312" w:cs="仿宋_GB2312"/>
          <w:b w:val="0"/>
          <w:kern w:val="2"/>
          <w:sz w:val="32"/>
          <w:szCs w:val="32"/>
        </w:rPr>
      </w:pPr>
      <w:r>
        <w:rPr>
          <w:rFonts w:hint="eastAsia" w:ascii="楷体" w:hAnsi="楷体" w:eastAsia="楷体" w:cs="楷体"/>
          <w:b/>
          <w:bCs/>
          <w:kern w:val="2"/>
          <w:sz w:val="32"/>
          <w:szCs w:val="32"/>
        </w:rPr>
        <w:t>（</w:t>
      </w:r>
      <w:r>
        <w:rPr>
          <w:rFonts w:hint="eastAsia" w:ascii="楷体" w:hAnsi="楷体" w:eastAsia="楷体" w:cs="楷体"/>
          <w:b/>
          <w:bCs/>
          <w:kern w:val="2"/>
          <w:sz w:val="32"/>
          <w:szCs w:val="32"/>
          <w:lang w:eastAsia="zh-CN"/>
        </w:rPr>
        <w:t>三</w:t>
      </w:r>
      <w:r>
        <w:rPr>
          <w:rFonts w:hint="eastAsia" w:ascii="楷体" w:hAnsi="楷体" w:eastAsia="楷体" w:cs="楷体"/>
          <w:b/>
          <w:bCs/>
          <w:kern w:val="2"/>
          <w:sz w:val="32"/>
          <w:szCs w:val="32"/>
        </w:rPr>
        <w:t>）适用性原则。</w:t>
      </w:r>
      <w:r>
        <w:rPr>
          <w:rFonts w:hint="eastAsia" w:ascii="仿宋_GB2312" w:hAnsi="仿宋_GB2312" w:eastAsia="仿宋_GB2312" w:cs="仿宋_GB2312"/>
          <w:b w:val="0"/>
          <w:kern w:val="2"/>
          <w:sz w:val="32"/>
          <w:szCs w:val="32"/>
        </w:rPr>
        <w:t>本文件中的内容可直接使用，也易于被其他标准或文件引用。</w:t>
      </w:r>
    </w:p>
    <w:p>
      <w:pPr>
        <w:pStyle w:val="2"/>
        <w:pageBreakBefore w:val="0"/>
        <w:widowControl/>
        <w:kinsoku/>
        <w:wordWrap/>
        <w:overflowPunct/>
        <w:topLinePunct w:val="0"/>
        <w:bidi w:val="0"/>
        <w:adjustRightInd/>
        <w:snapToGrid/>
        <w:spacing w:before="0" w:beforeAutospacing="0" w:after="0" w:afterAutospacing="0" w:line="240" w:lineRule="auto"/>
        <w:ind w:firstLine="642" w:firstLineChars="200"/>
        <w:textAlignment w:val="auto"/>
        <w:rPr>
          <w:rFonts w:hint="eastAsia" w:ascii="仿宋_GB2312" w:hAnsi="仿宋_GB2312" w:eastAsia="仿宋_GB2312" w:cs="仿宋_GB2312"/>
          <w:b w:val="0"/>
          <w:kern w:val="2"/>
          <w:sz w:val="32"/>
          <w:szCs w:val="32"/>
        </w:rPr>
      </w:pPr>
      <w:r>
        <w:rPr>
          <w:rFonts w:hint="eastAsia" w:ascii="楷体" w:hAnsi="楷体" w:eastAsia="楷体" w:cs="楷体"/>
          <w:b/>
          <w:bCs/>
          <w:kern w:val="2"/>
          <w:sz w:val="32"/>
          <w:szCs w:val="32"/>
        </w:rPr>
        <w:t>（</w:t>
      </w:r>
      <w:r>
        <w:rPr>
          <w:rFonts w:hint="eastAsia" w:ascii="楷体" w:hAnsi="楷体" w:eastAsia="楷体" w:cs="楷体"/>
          <w:b/>
          <w:bCs/>
          <w:kern w:val="2"/>
          <w:sz w:val="32"/>
          <w:szCs w:val="32"/>
          <w:lang w:eastAsia="zh-CN"/>
        </w:rPr>
        <w:t>四</w:t>
      </w:r>
      <w:r>
        <w:rPr>
          <w:rFonts w:hint="eastAsia" w:ascii="楷体" w:hAnsi="楷体" w:eastAsia="楷体" w:cs="楷体"/>
          <w:b/>
          <w:bCs/>
          <w:kern w:val="2"/>
          <w:sz w:val="32"/>
          <w:szCs w:val="32"/>
        </w:rPr>
        <w:t>）规范性原则。</w:t>
      </w:r>
      <w:r>
        <w:rPr>
          <w:rFonts w:hint="eastAsia" w:ascii="仿宋_GB2312" w:hAnsi="仿宋_GB2312" w:eastAsia="仿宋_GB2312" w:cs="仿宋_GB2312"/>
          <w:b w:val="0"/>
          <w:kern w:val="2"/>
          <w:sz w:val="32"/>
          <w:szCs w:val="32"/>
        </w:rPr>
        <w:t>本文件的起草遵守与标准制定有关的基础标准以及相应法律法规的要求。</w:t>
      </w:r>
    </w:p>
    <w:p>
      <w:pPr>
        <w:pStyle w:val="2"/>
        <w:pageBreakBefore w:val="0"/>
        <w:widowControl/>
        <w:kinsoku/>
        <w:wordWrap/>
        <w:overflowPunct/>
        <w:topLinePunct w:val="0"/>
        <w:bidi w:val="0"/>
        <w:adjustRightInd/>
        <w:snapToGrid/>
        <w:spacing w:before="0" w:beforeAutospacing="0" w:after="0" w:afterAutospacing="0" w:line="240" w:lineRule="auto"/>
        <w:ind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六、标准主要内容</w:t>
      </w:r>
    </w:p>
    <w:p>
      <w:pPr>
        <w:pStyle w:val="11"/>
        <w:pageBreakBefore w:val="0"/>
        <w:kinsoku/>
        <w:wordWrap/>
        <w:overflowPunct/>
        <w:topLinePunct w:val="0"/>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本文件评分内容包括城乡配送服务的基本原则、基本要求、服务规范、质量规范、信息服务规范、服务质量指标。</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i w:val="0"/>
          <w:iCs w:val="0"/>
          <w:sz w:val="32"/>
          <w:szCs w:val="32"/>
        </w:rPr>
        <w:t>（一）适用范围</w:t>
      </w: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sz w:val="32"/>
          <w:szCs w:val="32"/>
        </w:rPr>
        <w:t>本文件适用于各类配送企业的城乡配送服务，包括专业配送企业、商贸流通配送企业、平台型配送企业。</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（二）基本原则</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主要包含共享、高效、质量、便利，标准对四个原则含义进行了明确。</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（三）基本要求</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本文件从资质、设施设备、业务流程与操作规范、服务质量考核指标体系建立、信息管理系统等方面，分别对专业配送企业、商贸流通配送企业、平台型配送企业城乡配送企业提出了要求。</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（四）服务规范</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本文件从订单接收、约定送达、送达预报、组配计划、车辆跟踪、交接手续、标志标识、潜在风险、预警信息、数据分析及预案制定等方面，分别对专业配送企业、商贸流通配送企业、平台型配送企业城乡配送企业进行了明确。</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（五）质量规范</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本文件从规范流程、记录与改进、考核指标、库存及配送预警、客户信息管理、投诉服务流程等方面，分别对专业配送企业、商贸流通配送企业、平台型配送企业城乡配送企业进行了明确。</w:t>
      </w:r>
    </w:p>
    <w:p>
      <w:pPr>
        <w:pageBreakBefore w:val="0"/>
        <w:kinsoku/>
        <w:wordWrap/>
        <w:overflowPunct/>
        <w:topLinePunct w:val="0"/>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（六）信息服务规范</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主要包括配送信息要求、在途信息要求及查询方式提供。配送信息主要包括收货方信息、发货方信息、配送货物清单（货物品名、规格、数量、体积、重量等）、包装及配送要求、送货时限、配送服务站（点）和配送人员相关联络信息等；在途信息主要包括车辆信息、在途状态、预计送达时间、对配送进度有影响的意外事件、未送达原因及再次配送的时间等；查询方式的提供主要有PC端查询、移动端查询、电话查询等。</w:t>
      </w:r>
    </w:p>
    <w:p>
      <w:pPr>
        <w:pStyle w:val="16"/>
        <w:pageBreakBefore w:val="0"/>
        <w:numPr>
          <w:ilvl w:val="2"/>
          <w:numId w:val="0"/>
        </w:numPr>
        <w:kinsoku/>
        <w:wordWrap/>
        <w:overflowPunct/>
        <w:topLinePunct w:val="0"/>
        <w:bidi w:val="0"/>
        <w:adjustRightInd/>
        <w:snapToGrid/>
        <w:spacing w:beforeLines="0" w:afterLines="0" w:line="240" w:lineRule="auto"/>
        <w:ind w:firstLine="642"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（七）服务质量指标</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本文件从可统计、可测算、便于同行业配送企业的服务评价对比的角度，设置11项重要的服务质量指标：订单完成率、配送准确率、配送准时率、账货相符率、有效投诉率、责任货损率、回单即时率、车辆监控率、APP订单上线率、APP查询率和客户满意度，并给出了可量化的指标数值。</w:t>
      </w:r>
    </w:p>
    <w:p>
      <w:pPr>
        <w:pStyle w:val="16"/>
        <w:pageBreakBefore w:val="0"/>
        <w:numPr>
          <w:ilvl w:val="2"/>
          <w:numId w:val="0"/>
        </w:numPr>
        <w:kinsoku/>
        <w:wordWrap/>
        <w:overflowPunct/>
        <w:topLinePunct w:val="0"/>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订单完成率、配送准确率、配送准时率、账货相符率、有效投诉率、责任货损率、回单即时率7项指标适用于专业配送企业、商贸流通企业；配送准确率、配送准时率、有效投诉率、车辆监控率、APP订单上线率、APP查询率6项指标适用于平台型配送企业；客户满意度适用于所有配送企业。</w:t>
      </w:r>
    </w:p>
    <w:p>
      <w:pPr>
        <w:pStyle w:val="16"/>
        <w:pageBreakBefore w:val="0"/>
        <w:numPr>
          <w:ilvl w:val="2"/>
          <w:numId w:val="0"/>
        </w:numPr>
        <w:kinsoku/>
        <w:wordWrap/>
        <w:overflowPunct/>
        <w:topLinePunct w:val="0"/>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（1）订单完成率：考核期内完成订单数与订单总数的比率。订单完成率≥99%，计算公式为：</w:t>
      </w:r>
    </w:p>
    <w:p>
      <w:pPr>
        <w:pStyle w:val="11"/>
        <w:pageBreakBefore w:val="0"/>
        <w:tabs>
          <w:tab w:val="center" w:pos="4201"/>
          <w:tab w:val="right" w:leader="dot" w:pos="9298"/>
        </w:tabs>
        <w:kinsoku/>
        <w:wordWrap/>
        <w:overflowPunct/>
        <w:topLinePunct w:val="0"/>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6"/>
          <w:sz w:val="32"/>
          <w:szCs w:val="32"/>
        </w:rPr>
        <w:object>
          <v:shape id="_x0000_i1025" o:spt="75" type="#_x0000_t75" style="height:42pt;width:232.5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p>
    <w:p>
      <w:pPr>
        <w:pStyle w:val="11"/>
        <w:pageBreakBefore w:val="0"/>
        <w:tabs>
          <w:tab w:val="center" w:pos="4201"/>
          <w:tab w:val="right" w:leader="dot" w:pos="9298"/>
        </w:tabs>
        <w:kinsoku/>
        <w:wordWrap/>
        <w:overflowPunct/>
        <w:topLinePunct w:val="0"/>
        <w:bidi w:val="0"/>
        <w:adjustRightInd/>
        <w:snapToGrid/>
        <w:spacing w:after="156" w:afterLines="50" w:line="240" w:lineRule="auto"/>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（2）配送准确率：考核期内无差错配送订单数与配送订单总数的比率。配送准确率≥99.5%，计算公式为：</w:t>
      </w:r>
    </w:p>
    <w:p>
      <w:pPr>
        <w:pStyle w:val="11"/>
        <w:pageBreakBefore w:val="0"/>
        <w:tabs>
          <w:tab w:val="center" w:pos="4201"/>
          <w:tab w:val="right" w:leader="dot" w:pos="9298"/>
        </w:tabs>
        <w:kinsoku/>
        <w:wordWrap/>
        <w:overflowPunct/>
        <w:topLinePunct w:val="0"/>
        <w:bidi w:val="0"/>
        <w:adjustRightInd/>
        <w:snapToGrid/>
        <w:spacing w:line="240" w:lineRule="auto"/>
        <w:ind w:firstLine="420"/>
        <w:jc w:val="center"/>
        <w:textAlignment w:val="auto"/>
        <w:rPr>
          <w:rFonts w:hint="eastAsia" w:ascii="仿宋_GB2312" w:hAnsi="仿宋_GB2312" w:eastAsia="仿宋_GB2312" w:cs="仿宋_GB2312"/>
          <w:position w:val="-26"/>
          <w:sz w:val="32"/>
          <w:szCs w:val="32"/>
        </w:rPr>
      </w:pPr>
      <w:r>
        <w:rPr>
          <w:rFonts w:hint="eastAsia" w:ascii="仿宋_GB2312" w:hAnsi="仿宋_GB2312" w:eastAsia="仿宋_GB2312" w:cs="仿宋_GB2312"/>
          <w:position w:val="-24"/>
          <w:sz w:val="32"/>
          <w:szCs w:val="32"/>
        </w:rPr>
        <w:object>
          <v:shape id="_x0000_i1026" o:spt="75" type="#_x0000_t75" style="height:37.5pt;width:228.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pStyle w:val="16"/>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配送准时率：考核期内按时完成的配送订单数与配送订单总数的比率。配送准时率≥97%，计算公式为：</w:t>
      </w:r>
    </w:p>
    <w:p>
      <w:pPr>
        <w:pStyle w:val="16"/>
        <w:pageBreakBefore w:val="0"/>
        <w:numPr>
          <w:ilvl w:val="2"/>
          <w:numId w:val="0"/>
        </w:numPr>
        <w:kinsoku/>
        <w:wordWrap/>
        <w:overflowPunct/>
        <w:topLinePunct w:val="0"/>
        <w:bidi w:val="0"/>
        <w:adjustRightInd/>
        <w:snapToGrid/>
        <w:spacing w:beforeLines="0" w:afterLines="0" w:line="240" w:lineRule="auto"/>
        <w:ind w:left="420" w:leftChars="20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4"/>
          <w:sz w:val="32"/>
          <w:szCs w:val="32"/>
        </w:rPr>
        <w:object>
          <v:shape id="_x0000_i1027" o:spt="75" type="#_x0000_t75" style="height:37.5pt;width:261.7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p>
      <w:pPr>
        <w:pStyle w:val="11"/>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账货相符率：</w:t>
      </w:r>
      <w:r>
        <w:rPr>
          <w:rFonts w:hint="eastAsia" w:ascii="仿宋_GB2312" w:hAnsi="仿宋_GB2312" w:eastAsia="仿宋_GB2312" w:cs="仿宋_GB2312"/>
          <w:sz w:val="32"/>
          <w:szCs w:val="32"/>
        </w:rPr>
        <w:t>考核期内</w:t>
      </w:r>
      <w:r>
        <w:rPr>
          <w:rFonts w:hint="eastAsia" w:ascii="仿宋_GB2312" w:hAnsi="仿宋_GB2312" w:eastAsia="仿宋_GB2312" w:cs="仿宋_GB2312"/>
          <w:kern w:val="0"/>
          <w:sz w:val="32"/>
          <w:szCs w:val="32"/>
        </w:rPr>
        <w:t>经盘点，库存物品账货相符的笔数占库存物品总笔数的比率。账货相符率≥99.5%，计算公式为：</w:t>
      </w:r>
    </w:p>
    <w:p>
      <w:pPr>
        <w:pStyle w:val="11"/>
        <w:pageBreakBefore w:val="0"/>
        <w:tabs>
          <w:tab w:val="center" w:pos="4201"/>
          <w:tab w:val="right" w:leader="dot" w:pos="9298"/>
        </w:tabs>
        <w:kinsoku/>
        <w:wordWrap/>
        <w:overflowPunct/>
        <w:topLinePunct w:val="0"/>
        <w:bidi w:val="0"/>
        <w:adjustRightInd/>
        <w:snapToGrid/>
        <w:spacing w:line="240" w:lineRule="auto"/>
        <w:ind w:left="0" w:leftChars="0"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position w:val="-24"/>
          <w:sz w:val="32"/>
          <w:szCs w:val="32"/>
        </w:rPr>
        <w:object>
          <v:shape id="_x0000_i1028" o:spt="75" type="#_x0000_t75" style="height:39.75pt;width:249.7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p>
    <w:p>
      <w:pPr>
        <w:pStyle w:val="16"/>
        <w:pageBreakBefore w:val="0"/>
        <w:numPr>
          <w:ilvl w:val="0"/>
          <w:numId w:val="3"/>
        </w:numPr>
        <w:kinsoku/>
        <w:wordWrap/>
        <w:overflowPunct/>
        <w:topLinePunct w:val="0"/>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有效投诉率：考核期内客户有效投诉涉及的订单数占订单总数的比率。有效投诉率≤0.8%，计算公式为：</w:t>
      </w:r>
    </w:p>
    <w:p>
      <w:pPr>
        <w:pStyle w:val="11"/>
        <w:numPr>
          <w:ilvl w:val="0"/>
          <w:numId w:val="0"/>
        </w:numPr>
        <w:rPr>
          <w:rFonts w:hint="eastAsia"/>
        </w:rPr>
      </w:pPr>
    </w:p>
    <w:p>
      <w:pPr>
        <w:pStyle w:val="11"/>
        <w:numPr>
          <w:ilvl w:val="0"/>
          <w:numId w:val="0"/>
        </w:numPr>
        <w:jc w:val="center"/>
        <w:rPr>
          <w:rFonts w:hint="eastAsia"/>
        </w:rPr>
      </w:pPr>
      <w:r>
        <w:rPr>
          <w:rFonts w:hint="eastAsia" w:ascii="仿宋_GB2312" w:hAnsi="仿宋_GB2312" w:eastAsia="仿宋_GB2312" w:cs="仿宋_GB2312"/>
          <w:position w:val="-24"/>
          <w:sz w:val="32"/>
          <w:szCs w:val="32"/>
        </w:rPr>
        <w:object>
          <v:shape id="_x0000_i1029" o:spt="75" type="#_x0000_t75" style="height:37.5pt;width:269.2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p>
    <w:p>
      <w:pPr>
        <w:pStyle w:val="11"/>
        <w:pageBreakBefore w:val="0"/>
        <w:kinsoku/>
        <w:wordWrap/>
        <w:overflowPunct/>
        <w:topLinePunct w:val="0"/>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（6）责任货损率：考核期内由于作业不善造成的物品霉变、残损、丢失、短少等损失的件数占期内配送总件数的比率。责任货损率≤0.05%，建议根据不同行业、不同品类配送适当调整。计算公式为：</w:t>
      </w:r>
    </w:p>
    <w:p>
      <w:pPr>
        <w:pStyle w:val="11"/>
        <w:pageBreakBefore w:val="0"/>
        <w:kinsoku/>
        <w:wordWrap/>
        <w:overflowPunct/>
        <w:topLinePunct w:val="0"/>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4"/>
          <w:sz w:val="32"/>
          <w:szCs w:val="32"/>
        </w:rPr>
        <w:object>
          <v:shape id="_x0000_i1030" o:spt="75" type="#_x0000_t75" style="height:37.5pt;width:216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p>
      <w:pPr>
        <w:pStyle w:val="16"/>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回单及时率：考核期内按时返回订单数与应返回订单总数的比率。回单及时率≥98%，计算公式为：</w:t>
      </w:r>
    </w:p>
    <w:p>
      <w:pPr>
        <w:pStyle w:val="11"/>
        <w:numPr>
          <w:ilvl w:val="0"/>
          <w:numId w:val="0"/>
        </w:numPr>
        <w:jc w:val="center"/>
        <w:rPr>
          <w:rFonts w:hint="eastAsia"/>
        </w:rPr>
      </w:pPr>
      <w:r>
        <w:rPr>
          <w:rFonts w:hint="eastAsia" w:ascii="仿宋_GB2312" w:hAnsi="仿宋_GB2312" w:eastAsia="仿宋_GB2312" w:cs="仿宋_GB2312"/>
          <w:position w:val="-26"/>
          <w:sz w:val="32"/>
          <w:szCs w:val="32"/>
        </w:rPr>
        <w:object>
          <v:shape id="_x0000_i1031" o:spt="75" type="#_x0000_t75" style="height:37.5pt;width:231.7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11"/>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车辆监控率：</w:t>
      </w:r>
      <w:r>
        <w:rPr>
          <w:rFonts w:hint="eastAsia" w:ascii="仿宋_GB2312" w:hAnsi="仿宋_GB2312" w:eastAsia="仿宋_GB2312" w:cs="仿宋_GB2312"/>
          <w:sz w:val="32"/>
          <w:szCs w:val="32"/>
        </w:rPr>
        <w:t>考核期内</w:t>
      </w:r>
      <w:r>
        <w:rPr>
          <w:rFonts w:hint="eastAsia" w:ascii="仿宋_GB2312" w:hAnsi="仿宋_GB2312" w:eastAsia="仿宋_GB2312" w:cs="仿宋_GB2312"/>
          <w:kern w:val="0"/>
          <w:sz w:val="32"/>
          <w:szCs w:val="32"/>
        </w:rPr>
        <w:t>使用监控系统管理的配送车辆数与配送车辆总数的比率。车辆监控率＝100%，计算公式为：</w:t>
      </w:r>
    </w:p>
    <w:p>
      <w:pPr>
        <w:pStyle w:val="11"/>
        <w:pageBreakBefore w:val="0"/>
        <w:tabs>
          <w:tab w:val="center" w:pos="4201"/>
          <w:tab w:val="right" w:leader="dot" w:pos="9298"/>
        </w:tabs>
        <w:kinsoku/>
        <w:wordWrap/>
        <w:overflowPunct/>
        <w:topLinePunct w:val="0"/>
        <w:bidi w:val="0"/>
        <w:adjustRightInd/>
        <w:snapToGrid/>
        <w:spacing w:line="240" w:lineRule="auto"/>
        <w:ind w:left="420" w:leftChars="200"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position w:val="-24"/>
          <w:sz w:val="32"/>
          <w:szCs w:val="32"/>
        </w:rPr>
        <w:object>
          <v:shape id="_x0000_i1032" o:spt="75" type="#_x0000_t75" style="height:37.5pt;width:305.25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p>
    <w:p>
      <w:pPr>
        <w:pStyle w:val="11"/>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APP订单上线率：</w:t>
      </w:r>
      <w:r>
        <w:rPr>
          <w:rFonts w:hint="eastAsia" w:ascii="仿宋_GB2312" w:hAnsi="仿宋_GB2312" w:eastAsia="仿宋_GB2312" w:cs="仿宋_GB2312"/>
          <w:sz w:val="32"/>
          <w:szCs w:val="32"/>
        </w:rPr>
        <w:t>考核期内</w:t>
      </w:r>
      <w:r>
        <w:rPr>
          <w:rFonts w:hint="eastAsia" w:ascii="仿宋_GB2312" w:hAnsi="仿宋_GB2312" w:eastAsia="仿宋_GB2312" w:cs="仿宋_GB2312"/>
          <w:kern w:val="0"/>
          <w:sz w:val="32"/>
          <w:szCs w:val="32"/>
        </w:rPr>
        <w:t>APP上线的订单数与订单总数的比率。APP订单上线率＝100%，计算公式为：</w:t>
      </w:r>
    </w:p>
    <w:p>
      <w:pPr>
        <w:pStyle w:val="11"/>
        <w:pageBreakBefore w:val="0"/>
        <w:tabs>
          <w:tab w:val="center" w:pos="4201"/>
          <w:tab w:val="right" w:leader="dot" w:pos="9298"/>
        </w:tabs>
        <w:kinsoku/>
        <w:wordWrap/>
        <w:overflowPunct/>
        <w:topLinePunct w:val="0"/>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4"/>
          <w:sz w:val="32"/>
          <w:szCs w:val="32"/>
        </w:rPr>
        <w:object>
          <v:shape id="_x0000_i1033" o:spt="75" type="#_x0000_t75" style="height:39.75pt;width:253.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p>
    <w:p>
      <w:pPr>
        <w:pStyle w:val="11"/>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APP查询率：</w:t>
      </w:r>
      <w:r>
        <w:rPr>
          <w:rFonts w:hint="eastAsia" w:ascii="仿宋_GB2312" w:hAnsi="仿宋_GB2312" w:eastAsia="仿宋_GB2312" w:cs="仿宋_GB2312"/>
          <w:sz w:val="32"/>
          <w:szCs w:val="32"/>
        </w:rPr>
        <w:t>考核期内</w:t>
      </w:r>
      <w:r>
        <w:rPr>
          <w:rFonts w:hint="eastAsia" w:ascii="仿宋_GB2312" w:hAnsi="仿宋_GB2312" w:eastAsia="仿宋_GB2312" w:cs="仿宋_GB2312"/>
          <w:kern w:val="0"/>
          <w:sz w:val="32"/>
          <w:szCs w:val="32"/>
        </w:rPr>
        <w:t xml:space="preserve"> APP可查询订单数与订单总数的比率。APP查询率＝100%，计算公式为：</w:t>
      </w:r>
    </w:p>
    <w:p>
      <w:pPr>
        <w:pStyle w:val="11"/>
        <w:pageBreakBefore w:val="0"/>
        <w:tabs>
          <w:tab w:val="center" w:pos="4201"/>
          <w:tab w:val="right" w:leader="dot" w:pos="9298"/>
        </w:tabs>
        <w:kinsoku/>
        <w:wordWrap/>
        <w:overflowPunct/>
        <w:topLinePunct w:val="0"/>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4"/>
          <w:sz w:val="32"/>
          <w:szCs w:val="32"/>
        </w:rPr>
        <w:object>
          <v:shape id="_x0000_i1034" o:spt="75" type="#_x0000_t75" style="height:40.5pt;width:236.25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p>
    <w:p>
      <w:pPr>
        <w:pStyle w:val="11"/>
        <w:keepNext w:val="0"/>
        <w:keepLines w:val="0"/>
        <w:pageBreakBefore w:val="0"/>
        <w:widowControl/>
        <w:numPr>
          <w:ilvl w:val="0"/>
          <w:numId w:val="4"/>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客户满意度：</w:t>
      </w:r>
      <w:r>
        <w:rPr>
          <w:rFonts w:hint="eastAsia" w:ascii="仿宋_GB2312" w:hAnsi="仿宋_GB2312" w:eastAsia="仿宋_GB2312" w:cs="仿宋_GB2312"/>
          <w:sz w:val="32"/>
          <w:szCs w:val="32"/>
        </w:rPr>
        <w:t>考核期内</w:t>
      </w:r>
      <w:r>
        <w:rPr>
          <w:rFonts w:hint="eastAsia" w:ascii="仿宋_GB2312" w:hAnsi="仿宋_GB2312" w:eastAsia="仿宋_GB2312" w:cs="仿宋_GB2312"/>
          <w:kern w:val="0"/>
          <w:sz w:val="32"/>
          <w:szCs w:val="32"/>
        </w:rPr>
        <w:t>该指标根据客户调查问卷得出。</w:t>
      </w:r>
    </w:p>
    <w:p>
      <w:pPr>
        <w:pStyle w:val="11"/>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七、国家标准作为强制性国家标准或推荐性国家标准的建议</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本文件属于基础服务类行业标准，作为行业推荐性标准，物流配送企业自愿执行。</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八、废止现行有关标准的建议</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无需废止现行有关标准，本文件为首次编写及发布。</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九、重大意见分歧的处理经过和依据</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文件在起草过程中，尚未出现重大意见分歧。</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十、采标情况</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未查到国际标准。</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十一、 与现行法律、法规和强制性国家标准的关系</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本文件符合现行的法律、法规，同时，对现有的国家标准和行业标准进行了检索和整理， 以关键字“农村物流”、“农村仓储”、“城乡配送”搜索相关标准，未查询到相关强制性国家标准。</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 xml:space="preserve">十二、宣贯及实施建议 </w:t>
      </w:r>
    </w:p>
    <w:p>
      <w:pPr>
        <w:pageBreakBefore w:val="0"/>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配送服务质量规范》行业标准为首次制定，并且与现行相关标准协调统一，适用于各类配送企业的城乡配送服务，建议各级城乡配送主管部门、行业组织及城乡配送物流企业，在本文件颁布后，积极开展对本文件的宣传，并在城乡配送的运营、日常管理与服务、考核评价中，加以实施、运用本文件规定的服务规范与指标，以提高城乡</w:t>
      </w:r>
      <w:r>
        <w:rPr>
          <w:rFonts w:hint="default" w:ascii="仿宋_GB2312" w:hAnsi="仿宋_GB2312" w:eastAsia="仿宋_GB2312" w:cs="仿宋_GB2312"/>
          <w:sz w:val="32"/>
          <w:szCs w:val="32"/>
          <w:lang w:val="en"/>
        </w:rPr>
        <w:t>配送</w:t>
      </w:r>
      <w:r>
        <w:rPr>
          <w:rFonts w:hint="eastAsia" w:ascii="仿宋_GB2312" w:hAnsi="仿宋_GB2312" w:eastAsia="仿宋_GB2312" w:cs="仿宋_GB2312"/>
          <w:sz w:val="32"/>
          <w:szCs w:val="32"/>
        </w:rPr>
        <w:t>服务企业服务质量。</w:t>
      </w:r>
    </w:p>
    <w:p>
      <w:pPr>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 xml:space="preserve">十三、其他应予说明的事项 </w:t>
      </w:r>
    </w:p>
    <w:p>
      <w:pPr>
        <w:pStyle w:val="13"/>
        <w:pageBreakBefore w:val="0"/>
        <w:kinsoku/>
        <w:wordWrap/>
        <w:overflowPunct/>
        <w:topLinePunct w:val="0"/>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0198C"/>
    <w:multiLevelType w:val="singleLevel"/>
    <w:tmpl w:val="DFF0198C"/>
    <w:lvl w:ilvl="0" w:tentative="0">
      <w:start w:val="5"/>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color w:val="000000"/>
        <w:sz w:val="21"/>
        <w:szCs w:val="21"/>
      </w:rPr>
    </w:lvl>
    <w:lvl w:ilvl="1" w:tentative="0">
      <w:start w:val="1"/>
      <w:numFmt w:val="decimal"/>
      <w:pStyle w:val="17"/>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6"/>
      <w:suff w:val="nothing"/>
      <w:lvlText w:val="%1.%2.%3　"/>
      <w:lvlJc w:val="left"/>
      <w:pPr>
        <w:ind w:left="141"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A554ECF"/>
    <w:multiLevelType w:val="singleLevel"/>
    <w:tmpl w:val="5A554ECF"/>
    <w:lvl w:ilvl="0" w:tentative="0">
      <w:start w:val="11"/>
      <w:numFmt w:val="decimal"/>
      <w:suff w:val="nothing"/>
      <w:lvlText w:val="（%1）"/>
      <w:lvlJc w:val="left"/>
    </w:lvl>
  </w:abstractNum>
  <w:abstractNum w:abstractNumId="3">
    <w:nsid w:val="60B55DC2"/>
    <w:multiLevelType w:val="multilevel"/>
    <w:tmpl w:val="60B55DC2"/>
    <w:lvl w:ilvl="0" w:tentative="0">
      <w:start w:val="1"/>
      <w:numFmt w:val="upperLetter"/>
      <w:pStyle w:val="1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ascii="黑体" w:hAnsi="黑体" w:eastAsia="黑体"/>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4CAE"/>
    <w:rsid w:val="00006CFF"/>
    <w:rsid w:val="000417A4"/>
    <w:rsid w:val="00095272"/>
    <w:rsid w:val="000A7A8C"/>
    <w:rsid w:val="000B7F33"/>
    <w:rsid w:val="000C162A"/>
    <w:rsid w:val="000D76F0"/>
    <w:rsid w:val="000E358C"/>
    <w:rsid w:val="00101615"/>
    <w:rsid w:val="00102A69"/>
    <w:rsid w:val="0010560F"/>
    <w:rsid w:val="00146AD0"/>
    <w:rsid w:val="001775C9"/>
    <w:rsid w:val="00182064"/>
    <w:rsid w:val="00193938"/>
    <w:rsid w:val="001A2484"/>
    <w:rsid w:val="001B7B78"/>
    <w:rsid w:val="001C5F78"/>
    <w:rsid w:val="001D1494"/>
    <w:rsid w:val="001E1129"/>
    <w:rsid w:val="00211BC3"/>
    <w:rsid w:val="00234B7A"/>
    <w:rsid w:val="0024343A"/>
    <w:rsid w:val="00253B31"/>
    <w:rsid w:val="00280523"/>
    <w:rsid w:val="002945CC"/>
    <w:rsid w:val="002A70F0"/>
    <w:rsid w:val="002B2AF4"/>
    <w:rsid w:val="002C250E"/>
    <w:rsid w:val="002C2516"/>
    <w:rsid w:val="002D6CC1"/>
    <w:rsid w:val="002E567C"/>
    <w:rsid w:val="002E77B8"/>
    <w:rsid w:val="0031321F"/>
    <w:rsid w:val="0031640D"/>
    <w:rsid w:val="0035264A"/>
    <w:rsid w:val="003545A0"/>
    <w:rsid w:val="00382EAC"/>
    <w:rsid w:val="00383D3F"/>
    <w:rsid w:val="00390132"/>
    <w:rsid w:val="003B516D"/>
    <w:rsid w:val="003C6FBD"/>
    <w:rsid w:val="003D1D27"/>
    <w:rsid w:val="003E12A8"/>
    <w:rsid w:val="00400FA3"/>
    <w:rsid w:val="0040331E"/>
    <w:rsid w:val="004126AD"/>
    <w:rsid w:val="00417D57"/>
    <w:rsid w:val="004405C8"/>
    <w:rsid w:val="004673C7"/>
    <w:rsid w:val="00473DE9"/>
    <w:rsid w:val="00480900"/>
    <w:rsid w:val="0049194F"/>
    <w:rsid w:val="004A1FBB"/>
    <w:rsid w:val="004A4DA0"/>
    <w:rsid w:val="004A5EF9"/>
    <w:rsid w:val="004B091A"/>
    <w:rsid w:val="004C0413"/>
    <w:rsid w:val="004C1D37"/>
    <w:rsid w:val="004C6FA3"/>
    <w:rsid w:val="004D3979"/>
    <w:rsid w:val="004F0C49"/>
    <w:rsid w:val="004F5A83"/>
    <w:rsid w:val="005034D9"/>
    <w:rsid w:val="00504CAE"/>
    <w:rsid w:val="0051245F"/>
    <w:rsid w:val="005162C2"/>
    <w:rsid w:val="0053146A"/>
    <w:rsid w:val="005377F6"/>
    <w:rsid w:val="005575FF"/>
    <w:rsid w:val="005709B7"/>
    <w:rsid w:val="005A4DA5"/>
    <w:rsid w:val="005E007F"/>
    <w:rsid w:val="005F28A0"/>
    <w:rsid w:val="00611724"/>
    <w:rsid w:val="00616F30"/>
    <w:rsid w:val="006542D6"/>
    <w:rsid w:val="00665625"/>
    <w:rsid w:val="0068147C"/>
    <w:rsid w:val="006A10D8"/>
    <w:rsid w:val="006A5D32"/>
    <w:rsid w:val="006C147C"/>
    <w:rsid w:val="006D65BC"/>
    <w:rsid w:val="00702017"/>
    <w:rsid w:val="00713365"/>
    <w:rsid w:val="00762152"/>
    <w:rsid w:val="00792DF3"/>
    <w:rsid w:val="007A034A"/>
    <w:rsid w:val="007B0125"/>
    <w:rsid w:val="007B7520"/>
    <w:rsid w:val="007D5CDA"/>
    <w:rsid w:val="00804C66"/>
    <w:rsid w:val="00815130"/>
    <w:rsid w:val="0082480F"/>
    <w:rsid w:val="00825791"/>
    <w:rsid w:val="0083255C"/>
    <w:rsid w:val="0085092A"/>
    <w:rsid w:val="0086770C"/>
    <w:rsid w:val="00873B31"/>
    <w:rsid w:val="008B0BDD"/>
    <w:rsid w:val="008E3435"/>
    <w:rsid w:val="008E48AB"/>
    <w:rsid w:val="008F030C"/>
    <w:rsid w:val="00903612"/>
    <w:rsid w:val="00920189"/>
    <w:rsid w:val="00926861"/>
    <w:rsid w:val="009558C6"/>
    <w:rsid w:val="00956A1C"/>
    <w:rsid w:val="009E40C0"/>
    <w:rsid w:val="009F6327"/>
    <w:rsid w:val="00A46005"/>
    <w:rsid w:val="00A8074D"/>
    <w:rsid w:val="00A95BDB"/>
    <w:rsid w:val="00AC24E1"/>
    <w:rsid w:val="00AC4445"/>
    <w:rsid w:val="00AC547E"/>
    <w:rsid w:val="00AE7064"/>
    <w:rsid w:val="00B149DB"/>
    <w:rsid w:val="00B23FED"/>
    <w:rsid w:val="00B242BD"/>
    <w:rsid w:val="00B42A63"/>
    <w:rsid w:val="00B46E5B"/>
    <w:rsid w:val="00B4715A"/>
    <w:rsid w:val="00B971E5"/>
    <w:rsid w:val="00BA2A26"/>
    <w:rsid w:val="00BA4A24"/>
    <w:rsid w:val="00BE0BDE"/>
    <w:rsid w:val="00BE0D79"/>
    <w:rsid w:val="00BE325B"/>
    <w:rsid w:val="00C03B51"/>
    <w:rsid w:val="00C066C0"/>
    <w:rsid w:val="00C50F1A"/>
    <w:rsid w:val="00C539FC"/>
    <w:rsid w:val="00C5480F"/>
    <w:rsid w:val="00C60636"/>
    <w:rsid w:val="00C62B19"/>
    <w:rsid w:val="00C71FA2"/>
    <w:rsid w:val="00CA2942"/>
    <w:rsid w:val="00CA5A45"/>
    <w:rsid w:val="00CC76BD"/>
    <w:rsid w:val="00CF5B93"/>
    <w:rsid w:val="00D030BF"/>
    <w:rsid w:val="00D07C8D"/>
    <w:rsid w:val="00D228DD"/>
    <w:rsid w:val="00D2533D"/>
    <w:rsid w:val="00D62CFE"/>
    <w:rsid w:val="00D67EF8"/>
    <w:rsid w:val="00D811C5"/>
    <w:rsid w:val="00D93496"/>
    <w:rsid w:val="00DA7A79"/>
    <w:rsid w:val="00DE7284"/>
    <w:rsid w:val="00E02B0E"/>
    <w:rsid w:val="00E12AA2"/>
    <w:rsid w:val="00E402EF"/>
    <w:rsid w:val="00E41840"/>
    <w:rsid w:val="00E50729"/>
    <w:rsid w:val="00E53222"/>
    <w:rsid w:val="00E56760"/>
    <w:rsid w:val="00E709BE"/>
    <w:rsid w:val="00EA5E9C"/>
    <w:rsid w:val="00EA6B76"/>
    <w:rsid w:val="00EC2F75"/>
    <w:rsid w:val="00EC5C0D"/>
    <w:rsid w:val="00EE2DCB"/>
    <w:rsid w:val="00F07480"/>
    <w:rsid w:val="00F131A6"/>
    <w:rsid w:val="00F444E2"/>
    <w:rsid w:val="00F473B5"/>
    <w:rsid w:val="00FA6A04"/>
    <w:rsid w:val="00FB1480"/>
    <w:rsid w:val="00FE5A41"/>
    <w:rsid w:val="043D2F07"/>
    <w:rsid w:val="1A6C569D"/>
    <w:rsid w:val="2A7F10BF"/>
    <w:rsid w:val="2BB54263"/>
    <w:rsid w:val="377D4225"/>
    <w:rsid w:val="3E305FDE"/>
    <w:rsid w:val="3E980CF9"/>
    <w:rsid w:val="46FE1F42"/>
    <w:rsid w:val="4CB7BA17"/>
    <w:rsid w:val="4EBC1CBE"/>
    <w:rsid w:val="55261EAE"/>
    <w:rsid w:val="5FFDB698"/>
    <w:rsid w:val="71CB24FF"/>
    <w:rsid w:val="721342E2"/>
    <w:rsid w:val="75EF9A07"/>
    <w:rsid w:val="7737022C"/>
    <w:rsid w:val="777B252F"/>
    <w:rsid w:val="7B7F008A"/>
    <w:rsid w:val="7CA8BADD"/>
    <w:rsid w:val="7DFF0A8D"/>
    <w:rsid w:val="7FE7EEB3"/>
    <w:rsid w:val="7FFFB800"/>
    <w:rsid w:val="9FB5F0D7"/>
    <w:rsid w:val="9FFF86C5"/>
    <w:rsid w:val="BBEC15F2"/>
    <w:rsid w:val="D2FF72D3"/>
    <w:rsid w:val="DFAFAD1C"/>
    <w:rsid w:val="EF3D679D"/>
    <w:rsid w:val="EFC92096"/>
    <w:rsid w:val="F7FA803C"/>
    <w:rsid w:val="F94B6078"/>
    <w:rsid w:val="FBFF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8"/>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
    <w:rPr>
      <w:rFonts w:ascii="宋体" w:hAnsi="宋体" w:eastAsia="宋体" w:cs="Times New Roman"/>
      <w:b/>
      <w:kern w:val="44"/>
      <w:sz w:val="48"/>
      <w:szCs w:val="48"/>
    </w:rPr>
  </w:style>
  <w:style w:type="character" w:customStyle="1" w:styleId="9">
    <w:name w:val="页脚 字符"/>
    <w:link w:val="4"/>
    <w:qFormat/>
    <w:uiPriority w:val="99"/>
    <w:rPr>
      <w:sz w:val="18"/>
      <w:szCs w:val="18"/>
    </w:rPr>
  </w:style>
  <w:style w:type="character" w:customStyle="1" w:styleId="10">
    <w:name w:val="段 Char"/>
    <w:link w:val="11"/>
    <w:qFormat/>
    <w:uiPriority w:val="99"/>
    <w:rPr>
      <w:rFonts w:ascii="宋体" w:hAnsi="Times New Roman"/>
      <w:lang w:val="en-US" w:eastAsia="zh-CN"/>
    </w:rPr>
  </w:style>
  <w:style w:type="paragraph" w:customStyle="1" w:styleId="11">
    <w:name w:val="段"/>
    <w:link w:val="10"/>
    <w:qFormat/>
    <w:uiPriority w:val="99"/>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paragraph" w:customStyle="1" w:styleId="12">
    <w:name w:val="_Style 1"/>
    <w:basedOn w:val="1"/>
    <w:qFormat/>
    <w:uiPriority w:val="34"/>
    <w:pPr>
      <w:ind w:firstLine="420" w:firstLineChars="200"/>
    </w:pPr>
  </w:style>
  <w:style w:type="paragraph" w:styleId="13">
    <w:name w:val="List Paragraph"/>
    <w:basedOn w:val="1"/>
    <w:qFormat/>
    <w:uiPriority w:val="34"/>
    <w:pPr>
      <w:ind w:firstLine="420" w:firstLineChars="200"/>
    </w:pPr>
  </w:style>
  <w:style w:type="paragraph" w:customStyle="1" w:styleId="14">
    <w:name w:val="_Style 2"/>
    <w:basedOn w:val="1"/>
    <w:qFormat/>
    <w:uiPriority w:val="34"/>
    <w:pPr>
      <w:ind w:firstLine="420" w:firstLineChars="200"/>
    </w:pPr>
  </w:style>
  <w:style w:type="character" w:customStyle="1" w:styleId="15">
    <w:name w:val="页脚 字符1"/>
    <w:basedOn w:val="7"/>
    <w:semiHidden/>
    <w:qFormat/>
    <w:uiPriority w:val="99"/>
    <w:rPr>
      <w:rFonts w:ascii="Times New Roman" w:hAnsi="Times New Roman" w:eastAsia="宋体" w:cs="Times New Roman"/>
      <w:sz w:val="18"/>
      <w:szCs w:val="18"/>
    </w:rPr>
  </w:style>
  <w:style w:type="paragraph" w:customStyle="1" w:styleId="16">
    <w:name w:val="二级条标题"/>
    <w:basedOn w:val="17"/>
    <w:next w:val="11"/>
    <w:qFormat/>
    <w:uiPriority w:val="0"/>
    <w:pPr>
      <w:numPr>
        <w:ilvl w:val="2"/>
      </w:numPr>
      <w:spacing w:before="50" w:after="50"/>
      <w:outlineLvl w:val="3"/>
    </w:pPr>
  </w:style>
  <w:style w:type="paragraph" w:customStyle="1" w:styleId="17">
    <w:name w:val="一级条标题"/>
    <w:next w:val="1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附录表标号"/>
    <w:basedOn w:val="1"/>
    <w:next w:val="11"/>
    <w:qFormat/>
    <w:uiPriority w:val="0"/>
    <w:pPr>
      <w:numPr>
        <w:ilvl w:val="0"/>
        <w:numId w:val="2"/>
      </w:numPr>
      <w:tabs>
        <w:tab w:val="clear" w:pos="0"/>
      </w:tabs>
      <w:spacing w:line="14" w:lineRule="exact"/>
      <w:ind w:left="811" w:hanging="448"/>
      <w:jc w:val="center"/>
      <w:outlineLvl w:val="0"/>
    </w:pPr>
    <w:rPr>
      <w:color w:val="FFFFFF"/>
    </w:rPr>
  </w:style>
  <w:style w:type="paragraph" w:customStyle="1" w:styleId="19">
    <w:name w:val="终结线"/>
    <w:basedOn w:val="1"/>
    <w:qFormat/>
    <w:uiPriority w:val="0"/>
    <w:pPr>
      <w:framePr w:hSpace="181" w:vSpace="181" w:wrap="around" w:vAnchor="text" w:hAnchor="margin" w:xAlign="center" w:y="285"/>
    </w:pPr>
  </w:style>
  <w:style w:type="character" w:customStyle="1" w:styleId="20">
    <w:name w:val="批注框文本 字符"/>
    <w:basedOn w:val="7"/>
    <w:link w:val="3"/>
    <w:semiHidden/>
    <w:qFormat/>
    <w:uiPriority w:val="99"/>
    <w:rPr>
      <w:kern w:val="2"/>
      <w:sz w:val="18"/>
      <w:szCs w:val="18"/>
    </w:rPr>
  </w:style>
  <w:style w:type="character" w:customStyle="1" w:styleId="21">
    <w:name w:val="页眉 字符"/>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3231</Characters>
  <Lines>26</Lines>
  <Paragraphs>7</Paragraphs>
  <TotalTime>5</TotalTime>
  <ScaleCrop>false</ScaleCrop>
  <LinksUpToDate>false</LinksUpToDate>
  <CharactersWithSpaces>3790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2020-08-18T14:21:00Z</dcterms:created>
  <dc:creator>fujiawen@cawd.org.cn</dc:creator>
  <cp:lastModifiedBy>kylin</cp:lastModifiedBy>
  <cp:lastPrinted>2021-03-03T22:20:00Z</cp:lastPrinted>
  <dcterms:modified xsi:type="dcterms:W3CDTF">2021-03-03T17:26:12Z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